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7169" w14:textId="77777777" w:rsidR="000F0E69" w:rsidRDefault="000F0E69" w:rsidP="0059586E">
      <w:pPr>
        <w:autoSpaceDE w:val="0"/>
        <w:autoSpaceDN w:val="0"/>
        <w:adjustRightInd w:val="0"/>
        <w:spacing w:after="0" w:line="240" w:lineRule="auto"/>
        <w:rPr>
          <w:rFonts w:ascii="Times New Roman" w:hAnsi="Times New Roman" w:cs="Times New Roman"/>
          <w:sz w:val="20"/>
          <w:szCs w:val="20"/>
          <w:lang w:val="de-DE"/>
        </w:rPr>
      </w:pPr>
    </w:p>
    <w:p w14:paraId="4D677E91" w14:textId="670B0A71" w:rsidR="0059586E" w:rsidRDefault="0059586E" w:rsidP="0059586E">
      <w:pPr>
        <w:autoSpaceDE w:val="0"/>
        <w:autoSpaceDN w:val="0"/>
        <w:adjustRightInd w:val="0"/>
        <w:spacing w:after="0" w:line="240" w:lineRule="auto"/>
        <w:rPr>
          <w:rFonts w:ascii="Times New Roman" w:hAnsi="Times New Roman" w:cs="Times New Roman"/>
          <w:sz w:val="20"/>
          <w:szCs w:val="20"/>
          <w:lang w:val="de-DE"/>
        </w:rPr>
      </w:pPr>
      <w:proofErr w:type="spellStart"/>
      <w:r>
        <w:rPr>
          <w:rFonts w:ascii="Times New Roman" w:hAnsi="Times New Roman" w:cs="Times New Roman"/>
          <w:sz w:val="20"/>
          <w:szCs w:val="20"/>
          <w:lang w:val="de-DE"/>
        </w:rPr>
        <w:t>Mag.Dr.iur</w:t>
      </w:r>
      <w:proofErr w:type="spellEnd"/>
      <w:r>
        <w:rPr>
          <w:rFonts w:ascii="Times New Roman" w:hAnsi="Times New Roman" w:cs="Times New Roman"/>
          <w:sz w:val="20"/>
          <w:szCs w:val="20"/>
          <w:lang w:val="de-DE"/>
        </w:rPr>
        <w:t>. Johann Sollgruber, MaS ULB Bruxelles</w:t>
      </w:r>
    </w:p>
    <w:p w14:paraId="0A527EBD" w14:textId="77777777" w:rsidR="009746FB" w:rsidRDefault="009746FB" w:rsidP="0059586E">
      <w:pPr>
        <w:autoSpaceDE w:val="0"/>
        <w:autoSpaceDN w:val="0"/>
        <w:adjustRightInd w:val="0"/>
        <w:spacing w:after="0" w:line="240" w:lineRule="auto"/>
        <w:rPr>
          <w:rFonts w:ascii="Times New Roman" w:hAnsi="Times New Roman" w:cs="Times New Roman"/>
          <w:sz w:val="20"/>
          <w:szCs w:val="20"/>
          <w:lang w:val="de-DE"/>
        </w:rPr>
      </w:pPr>
    </w:p>
    <w:p w14:paraId="4704D8BE" w14:textId="7B613753" w:rsidR="0059586E" w:rsidRDefault="0059586E" w:rsidP="0059586E">
      <w:pPr>
        <w:rPr>
          <w:rFonts w:ascii="Times New Roman" w:eastAsia="Times New Roman" w:hAnsi="Times New Roman" w:cs="Times New Roman"/>
          <w:b/>
          <w:bCs/>
          <w:sz w:val="28"/>
          <w:szCs w:val="28"/>
          <w:lang w:val="de-DE"/>
        </w:rPr>
      </w:pPr>
      <w:r w:rsidRPr="005713F0">
        <w:rPr>
          <w:rFonts w:ascii="Times New Roman" w:eastAsia="Times New Roman" w:hAnsi="Times New Roman" w:cs="Times New Roman"/>
          <w:b/>
          <w:bCs/>
          <w:sz w:val="28"/>
          <w:szCs w:val="28"/>
          <w:lang w:val="de-DE"/>
        </w:rPr>
        <w:t xml:space="preserve">EU-Handelspolitik in Österreich und Deutschland auf dem Prüfstand- rechtspolitische Fragestellungen </w:t>
      </w:r>
    </w:p>
    <w:p w14:paraId="6697C432" w14:textId="77777777" w:rsidR="00F05EA7" w:rsidRDefault="00F05EA7" w:rsidP="00F05EA7">
      <w:pPr>
        <w:jc w:val="center"/>
        <w:rPr>
          <w:rFonts w:ascii="Times New Roman" w:eastAsia="Times New Roman" w:hAnsi="Times New Roman" w:cs="Times New Roman"/>
          <w:b/>
          <w:bCs/>
          <w:sz w:val="24"/>
          <w:szCs w:val="24"/>
          <w:lang w:val="de-DE"/>
        </w:rPr>
      </w:pPr>
      <w:r>
        <w:rPr>
          <w:rFonts w:ascii="Times New Roman" w:eastAsia="Times New Roman" w:hAnsi="Times New Roman" w:cs="Times New Roman"/>
          <w:b/>
          <w:bCs/>
          <w:sz w:val="24"/>
          <w:szCs w:val="24"/>
          <w:lang w:val="de-DE"/>
        </w:rPr>
        <w:t>Abstract</w:t>
      </w:r>
    </w:p>
    <w:p w14:paraId="674EACD2" w14:textId="7CB06AA1" w:rsidR="00F05EA7" w:rsidRDefault="00F05EA7" w:rsidP="00F05EA7">
      <w:pPr>
        <w:autoSpaceDE w:val="0"/>
        <w:autoSpaceDN w:val="0"/>
        <w:adjustRightInd w:val="0"/>
        <w:jc w:val="both"/>
        <w:rPr>
          <w:rFonts w:ascii="Times New Roman" w:hAnsi="Times New Roman" w:cs="Times New Roman"/>
          <w:sz w:val="24"/>
          <w:szCs w:val="24"/>
          <w:lang w:val="de-DE"/>
        </w:rPr>
      </w:pPr>
      <w:r>
        <w:rPr>
          <w:rFonts w:ascii="Times New Roman" w:hAnsi="Times New Roman" w:cs="Times New Roman"/>
          <w:sz w:val="24"/>
          <w:szCs w:val="24"/>
          <w:lang w:val="de-DE"/>
        </w:rPr>
        <w:t>Die EU als drittgrößter Handelsblock mit dem größten Binnenmarkt muss sich auf den Weltmärkten behaupten. Sie ist in Bezug auf die Handelspolitik nicht nur im Zuge der Digitalisierung und dem Bestreben nach Nachhaltigkeit und Umsetzung der Klimaziele von der Bereitschaft und dem politischen Willen der Handelspartner anhängig, sondern ist auch zunehmend der Kritik nationaler Regierungen und Umweltverbänden ausgesetzt.</w:t>
      </w:r>
    </w:p>
    <w:p w14:paraId="5048DB64" w14:textId="762EB25C" w:rsidR="00F05EA7" w:rsidRPr="00283F68" w:rsidRDefault="00F05EA7" w:rsidP="00F05EA7">
      <w:pPr>
        <w:autoSpaceDE w:val="0"/>
        <w:autoSpaceDN w:val="0"/>
        <w:adjustRightInd w:val="0"/>
        <w:jc w:val="both"/>
        <w:rPr>
          <w:lang w:val="de-DE"/>
        </w:rPr>
      </w:pPr>
      <w:r>
        <w:rPr>
          <w:rFonts w:ascii="Times New Roman" w:hAnsi="Times New Roman" w:cs="Times New Roman"/>
          <w:sz w:val="24"/>
          <w:szCs w:val="24"/>
          <w:lang w:val="de-DE"/>
        </w:rPr>
        <w:t>In diesem Spannungsverhältnis und im Hinblick auf die europäische Strategie einer autonomen und gleichzeitig offenen Handelspolitik versucht dieser Beitrag rechtspolitische Fragen zur Architektur von Handelsabkommen zu beantworten und Rechtsinstrumentarien zur Verhinderung von Marktverfälschungen für Waren und Dienstleistungen aus Drittländern zu beleuchten.</w:t>
      </w:r>
      <w:r w:rsidR="009C5C34">
        <w:rPr>
          <w:rFonts w:ascii="Times New Roman" w:hAnsi="Times New Roman" w:cs="Times New Roman"/>
          <w:sz w:val="24"/>
          <w:szCs w:val="24"/>
          <w:lang w:val="de-DE"/>
        </w:rPr>
        <w:t xml:space="preserve"> </w:t>
      </w:r>
      <w:r w:rsidR="009C5C34" w:rsidRPr="009C5C34">
        <w:rPr>
          <w:rFonts w:ascii="Times New Roman" w:hAnsi="Times New Roman" w:cs="Times New Roman"/>
          <w:sz w:val="24"/>
          <w:szCs w:val="24"/>
          <w:lang w:val="de-DE"/>
        </w:rPr>
        <w:t>Der Schwerpunkt der abschließenden Betrachtung liegt darauf, wie in Hinkunft EU Handelsabkommen aufgebaut sein werden und wie sich die Europäische Handelspolitik in Bezug auf den Schutz ihres Binnenmarktes vor ausländischen subventionierten Produkten in Hinkunft ausrichten wird.</w:t>
      </w:r>
    </w:p>
    <w:sdt>
      <w:sdtPr>
        <w:rPr>
          <w:rFonts w:asciiTheme="minorHAnsi" w:eastAsiaTheme="minorHAnsi" w:hAnsiTheme="minorHAnsi" w:cstheme="minorBidi"/>
          <w:b w:val="0"/>
          <w:bCs w:val="0"/>
          <w:color w:val="auto"/>
          <w:sz w:val="22"/>
          <w:szCs w:val="22"/>
          <w:lang w:val="de-DE" w:eastAsia="en-US"/>
        </w:rPr>
        <w:id w:val="-100792998"/>
        <w:docPartObj>
          <w:docPartGallery w:val="Table of Contents"/>
          <w:docPartUnique/>
        </w:docPartObj>
      </w:sdtPr>
      <w:sdtEndPr>
        <w:rPr>
          <w:noProof/>
          <w:lang w:val="en-GB"/>
        </w:rPr>
      </w:sdtEndPr>
      <w:sdtContent>
        <w:p w14:paraId="10ABD328" w14:textId="19E4E3B3" w:rsidR="00F96623" w:rsidRPr="00E33AE3" w:rsidRDefault="00F96623">
          <w:pPr>
            <w:pStyle w:val="TOCHeading"/>
            <w:rPr>
              <w:rFonts w:ascii="Times New Roman" w:hAnsi="Times New Roman" w:cs="Times New Roman"/>
              <w:color w:val="000000" w:themeColor="text1"/>
            </w:rPr>
          </w:pPr>
          <w:r w:rsidRPr="00E33AE3">
            <w:rPr>
              <w:rFonts w:ascii="Times New Roman" w:hAnsi="Times New Roman" w:cs="Times New Roman"/>
              <w:color w:val="000000" w:themeColor="text1"/>
              <w:lang w:val="de-DE"/>
            </w:rPr>
            <w:t>Inhaltsverzeichnis</w:t>
          </w:r>
        </w:p>
        <w:p w14:paraId="2EEA7AE6" w14:textId="4AAA2421" w:rsidR="002F0682" w:rsidRDefault="00F96623">
          <w:pPr>
            <w:pStyle w:val="TOC1"/>
            <w:tabs>
              <w:tab w:val="left" w:pos="440"/>
              <w:tab w:val="right" w:leader="dot" w:pos="9062"/>
            </w:tabs>
            <w:rPr>
              <w:rFonts w:eastAsiaTheme="minorEastAsia" w:cstheme="minorBidi"/>
              <w:b w:val="0"/>
              <w:bCs w:val="0"/>
              <w:noProof/>
              <w:kern w:val="2"/>
              <w:sz w:val="22"/>
              <w:szCs w:val="22"/>
              <w:lang w:eastAsia="en-GB"/>
              <w14:ligatures w14:val="standardContextual"/>
            </w:rPr>
          </w:pPr>
          <w:r w:rsidRPr="008E5BE4">
            <w:rPr>
              <w:rFonts w:ascii="Times New Roman" w:hAnsi="Times New Roman" w:cs="Times New Roman"/>
              <w:b w:val="0"/>
              <w:bCs w:val="0"/>
              <w:sz w:val="24"/>
              <w:szCs w:val="24"/>
            </w:rPr>
            <w:fldChar w:fldCharType="begin"/>
          </w:r>
          <w:r w:rsidRPr="008E5BE4">
            <w:rPr>
              <w:rFonts w:ascii="Times New Roman" w:hAnsi="Times New Roman" w:cs="Times New Roman"/>
              <w:b w:val="0"/>
              <w:bCs w:val="0"/>
              <w:sz w:val="24"/>
              <w:szCs w:val="24"/>
            </w:rPr>
            <w:instrText>TOC \o "1-3" \h \z \u</w:instrText>
          </w:r>
          <w:r w:rsidRPr="008E5BE4">
            <w:rPr>
              <w:rFonts w:ascii="Times New Roman" w:hAnsi="Times New Roman" w:cs="Times New Roman"/>
              <w:b w:val="0"/>
              <w:bCs w:val="0"/>
              <w:sz w:val="24"/>
              <w:szCs w:val="24"/>
            </w:rPr>
            <w:fldChar w:fldCharType="separate"/>
          </w:r>
          <w:hyperlink w:anchor="_Toc161050720" w:history="1">
            <w:r w:rsidR="002F0682" w:rsidRPr="00476B31">
              <w:rPr>
                <w:rStyle w:val="Hyperlink"/>
                <w:rFonts w:ascii="Times New Roman" w:eastAsia="Times New Roman" w:hAnsi="Times New Roman" w:cs="Times New Roman"/>
                <w:noProof/>
                <w:lang w:val="de-DE"/>
              </w:rPr>
              <w:t>I</w:t>
            </w:r>
            <w:r w:rsidR="002F0682">
              <w:rPr>
                <w:rFonts w:eastAsiaTheme="minorEastAsia" w:cstheme="minorBidi"/>
                <w:b w:val="0"/>
                <w:bCs w:val="0"/>
                <w:noProof/>
                <w:kern w:val="2"/>
                <w:sz w:val="22"/>
                <w:szCs w:val="22"/>
                <w:lang w:eastAsia="en-GB"/>
                <w14:ligatures w14:val="standardContextual"/>
              </w:rPr>
              <w:tab/>
            </w:r>
            <w:r w:rsidR="002F0682" w:rsidRPr="00476B31">
              <w:rPr>
                <w:rStyle w:val="Hyperlink"/>
                <w:rFonts w:ascii="Times New Roman" w:hAnsi="Times New Roman" w:cs="Times New Roman"/>
                <w:noProof/>
                <w:lang w:val="de-AT"/>
              </w:rPr>
              <w:t>Kompetenzverteilung zum Abschluss von Handelsabkommen</w:t>
            </w:r>
            <w:r w:rsidR="002F0682">
              <w:rPr>
                <w:noProof/>
                <w:webHidden/>
              </w:rPr>
              <w:tab/>
            </w:r>
            <w:r w:rsidR="002F0682">
              <w:rPr>
                <w:noProof/>
                <w:webHidden/>
              </w:rPr>
              <w:fldChar w:fldCharType="begin"/>
            </w:r>
            <w:r w:rsidR="002F0682">
              <w:rPr>
                <w:noProof/>
                <w:webHidden/>
              </w:rPr>
              <w:instrText xml:space="preserve"> PAGEREF _Toc161050720 \h </w:instrText>
            </w:r>
            <w:r w:rsidR="002F0682">
              <w:rPr>
                <w:noProof/>
                <w:webHidden/>
              </w:rPr>
            </w:r>
            <w:r w:rsidR="002F0682">
              <w:rPr>
                <w:noProof/>
                <w:webHidden/>
              </w:rPr>
              <w:fldChar w:fldCharType="separate"/>
            </w:r>
            <w:r w:rsidR="00ED160F">
              <w:rPr>
                <w:noProof/>
                <w:webHidden/>
              </w:rPr>
              <w:t>2</w:t>
            </w:r>
            <w:r w:rsidR="002F0682">
              <w:rPr>
                <w:noProof/>
                <w:webHidden/>
              </w:rPr>
              <w:fldChar w:fldCharType="end"/>
            </w:r>
          </w:hyperlink>
        </w:p>
        <w:p w14:paraId="747995C1" w14:textId="62FD7634" w:rsidR="002F0682" w:rsidRDefault="00BC08EF">
          <w:pPr>
            <w:pStyle w:val="TOC1"/>
            <w:tabs>
              <w:tab w:val="left" w:pos="440"/>
              <w:tab w:val="right" w:leader="dot" w:pos="9062"/>
            </w:tabs>
            <w:rPr>
              <w:rFonts w:eastAsiaTheme="minorEastAsia" w:cstheme="minorBidi"/>
              <w:b w:val="0"/>
              <w:bCs w:val="0"/>
              <w:noProof/>
              <w:kern w:val="2"/>
              <w:sz w:val="22"/>
              <w:szCs w:val="22"/>
              <w:lang w:eastAsia="en-GB"/>
              <w14:ligatures w14:val="standardContextual"/>
            </w:rPr>
          </w:pPr>
          <w:hyperlink w:anchor="_Toc161050721" w:history="1">
            <w:r w:rsidR="002F0682" w:rsidRPr="00476B31">
              <w:rPr>
                <w:rStyle w:val="Hyperlink"/>
                <w:rFonts w:ascii="Times New Roman" w:eastAsia="Times New Roman" w:hAnsi="Times New Roman" w:cs="Times New Roman"/>
                <w:noProof/>
                <w:lang w:val="de-DE"/>
              </w:rPr>
              <w:t>II</w:t>
            </w:r>
            <w:r w:rsidR="002F0682">
              <w:rPr>
                <w:rFonts w:eastAsiaTheme="minorEastAsia" w:cstheme="minorBidi"/>
                <w:b w:val="0"/>
                <w:bCs w:val="0"/>
                <w:noProof/>
                <w:kern w:val="2"/>
                <w:sz w:val="22"/>
                <w:szCs w:val="22"/>
                <w:lang w:eastAsia="en-GB"/>
                <w14:ligatures w14:val="standardContextual"/>
              </w:rPr>
              <w:tab/>
            </w:r>
            <w:r w:rsidR="002F0682" w:rsidRPr="00476B31">
              <w:rPr>
                <w:rStyle w:val="Hyperlink"/>
                <w:rFonts w:ascii="Times New Roman" w:eastAsia="Times New Roman" w:hAnsi="Times New Roman" w:cs="Times New Roman"/>
                <w:noProof/>
                <w:lang w:val="de-DE"/>
              </w:rPr>
              <w:t>Rechtsgutachten EUGH Singapur und seine Konsequenzen</w:t>
            </w:r>
            <w:r w:rsidR="002F0682">
              <w:rPr>
                <w:noProof/>
                <w:webHidden/>
              </w:rPr>
              <w:tab/>
            </w:r>
            <w:r w:rsidR="002F0682">
              <w:rPr>
                <w:noProof/>
                <w:webHidden/>
              </w:rPr>
              <w:fldChar w:fldCharType="begin"/>
            </w:r>
            <w:r w:rsidR="002F0682">
              <w:rPr>
                <w:noProof/>
                <w:webHidden/>
              </w:rPr>
              <w:instrText xml:space="preserve"> PAGEREF _Toc161050721 \h </w:instrText>
            </w:r>
            <w:r w:rsidR="002F0682">
              <w:rPr>
                <w:noProof/>
                <w:webHidden/>
              </w:rPr>
            </w:r>
            <w:r w:rsidR="002F0682">
              <w:rPr>
                <w:noProof/>
                <w:webHidden/>
              </w:rPr>
              <w:fldChar w:fldCharType="separate"/>
            </w:r>
            <w:r w:rsidR="00ED160F">
              <w:rPr>
                <w:noProof/>
                <w:webHidden/>
              </w:rPr>
              <w:t>3</w:t>
            </w:r>
            <w:r w:rsidR="002F0682">
              <w:rPr>
                <w:noProof/>
                <w:webHidden/>
              </w:rPr>
              <w:fldChar w:fldCharType="end"/>
            </w:r>
          </w:hyperlink>
        </w:p>
        <w:p w14:paraId="777302E6" w14:textId="483D732C" w:rsidR="002F0682" w:rsidRDefault="00BC08EF">
          <w:pPr>
            <w:pStyle w:val="TOC1"/>
            <w:tabs>
              <w:tab w:val="left" w:pos="660"/>
              <w:tab w:val="right" w:leader="dot" w:pos="9062"/>
            </w:tabs>
            <w:rPr>
              <w:rFonts w:eastAsiaTheme="minorEastAsia" w:cstheme="minorBidi"/>
              <w:b w:val="0"/>
              <w:bCs w:val="0"/>
              <w:noProof/>
              <w:kern w:val="2"/>
              <w:sz w:val="22"/>
              <w:szCs w:val="22"/>
              <w:lang w:eastAsia="en-GB"/>
              <w14:ligatures w14:val="standardContextual"/>
            </w:rPr>
          </w:pPr>
          <w:hyperlink w:anchor="_Toc161050722" w:history="1">
            <w:r w:rsidR="002F0682" w:rsidRPr="00476B31">
              <w:rPr>
                <w:rStyle w:val="Hyperlink"/>
                <w:rFonts w:ascii="Times New Roman" w:hAnsi="Times New Roman" w:cs="Times New Roman"/>
                <w:noProof/>
                <w:lang w:val="de-DE"/>
              </w:rPr>
              <w:t>III</w:t>
            </w:r>
            <w:r w:rsidR="00FE7DCE">
              <w:rPr>
                <w:rFonts w:eastAsiaTheme="minorEastAsia" w:cstheme="minorBidi"/>
                <w:b w:val="0"/>
                <w:bCs w:val="0"/>
                <w:noProof/>
                <w:kern w:val="2"/>
                <w:sz w:val="22"/>
                <w:szCs w:val="22"/>
                <w:lang w:eastAsia="en-GB"/>
                <w14:ligatures w14:val="standardContextual"/>
              </w:rPr>
              <w:t xml:space="preserve">    </w:t>
            </w:r>
            <w:r w:rsidR="002F0682" w:rsidRPr="00476B31">
              <w:rPr>
                <w:rStyle w:val="Hyperlink"/>
                <w:rFonts w:ascii="Times New Roman" w:hAnsi="Times New Roman" w:cs="Times New Roman"/>
                <w:noProof/>
                <w:lang w:val="de-DE"/>
              </w:rPr>
              <w:t>CETA-Urteile des deutschen Bundesverfassungsgerichtes - behauptetes Demokratiedefizit?</w:t>
            </w:r>
            <w:r w:rsidR="002F0682">
              <w:rPr>
                <w:noProof/>
                <w:webHidden/>
              </w:rPr>
              <w:tab/>
            </w:r>
            <w:r w:rsidR="002F0682">
              <w:rPr>
                <w:noProof/>
                <w:webHidden/>
              </w:rPr>
              <w:fldChar w:fldCharType="begin"/>
            </w:r>
            <w:r w:rsidR="002F0682">
              <w:rPr>
                <w:noProof/>
                <w:webHidden/>
              </w:rPr>
              <w:instrText xml:space="preserve"> PAGEREF _Toc161050722 \h </w:instrText>
            </w:r>
            <w:r w:rsidR="002F0682">
              <w:rPr>
                <w:noProof/>
                <w:webHidden/>
              </w:rPr>
            </w:r>
            <w:r w:rsidR="002F0682">
              <w:rPr>
                <w:noProof/>
                <w:webHidden/>
              </w:rPr>
              <w:fldChar w:fldCharType="separate"/>
            </w:r>
            <w:r w:rsidR="00ED160F">
              <w:rPr>
                <w:noProof/>
                <w:webHidden/>
              </w:rPr>
              <w:t>6</w:t>
            </w:r>
            <w:r w:rsidR="002F0682">
              <w:rPr>
                <w:noProof/>
                <w:webHidden/>
              </w:rPr>
              <w:fldChar w:fldCharType="end"/>
            </w:r>
          </w:hyperlink>
        </w:p>
        <w:p w14:paraId="12432014" w14:textId="59B1406B" w:rsidR="002F0682" w:rsidRDefault="00BC08EF">
          <w:pPr>
            <w:pStyle w:val="TOC1"/>
            <w:tabs>
              <w:tab w:val="left" w:pos="660"/>
              <w:tab w:val="right" w:leader="dot" w:pos="9062"/>
            </w:tabs>
            <w:rPr>
              <w:rFonts w:eastAsiaTheme="minorEastAsia" w:cstheme="minorBidi"/>
              <w:b w:val="0"/>
              <w:bCs w:val="0"/>
              <w:noProof/>
              <w:kern w:val="2"/>
              <w:sz w:val="22"/>
              <w:szCs w:val="22"/>
              <w:lang w:eastAsia="en-GB"/>
              <w14:ligatures w14:val="standardContextual"/>
            </w:rPr>
          </w:pPr>
          <w:hyperlink w:anchor="_Toc161050723" w:history="1">
            <w:r w:rsidR="002F0682" w:rsidRPr="00476B31">
              <w:rPr>
                <w:rStyle w:val="Hyperlink"/>
                <w:rFonts w:ascii="Times New Roman" w:eastAsia="Times New Roman" w:hAnsi="Times New Roman" w:cs="Times New Roman"/>
                <w:noProof/>
                <w:lang w:val="de-DE"/>
              </w:rPr>
              <w:t>IV</w:t>
            </w:r>
            <w:r w:rsidR="00FE7DCE">
              <w:rPr>
                <w:rFonts w:eastAsiaTheme="minorEastAsia" w:cstheme="minorBidi"/>
                <w:b w:val="0"/>
                <w:bCs w:val="0"/>
                <w:noProof/>
                <w:kern w:val="2"/>
                <w:sz w:val="22"/>
                <w:szCs w:val="22"/>
                <w:lang w:eastAsia="en-GB"/>
                <w14:ligatures w14:val="standardContextual"/>
              </w:rPr>
              <w:t xml:space="preserve">     </w:t>
            </w:r>
            <w:r w:rsidR="002F0682" w:rsidRPr="00476B31">
              <w:rPr>
                <w:rStyle w:val="Hyperlink"/>
                <w:rFonts w:ascii="Times New Roman" w:eastAsia="Times New Roman" w:hAnsi="Times New Roman" w:cs="Times New Roman"/>
                <w:noProof/>
                <w:lang w:val="de-DE"/>
              </w:rPr>
              <w:t>EU-Mercosur</w:t>
            </w:r>
            <w:r w:rsidR="002F0682">
              <w:rPr>
                <w:noProof/>
                <w:webHidden/>
              </w:rPr>
              <w:tab/>
            </w:r>
            <w:r w:rsidR="002F0682">
              <w:rPr>
                <w:noProof/>
                <w:webHidden/>
              </w:rPr>
              <w:fldChar w:fldCharType="begin"/>
            </w:r>
            <w:r w:rsidR="002F0682">
              <w:rPr>
                <w:noProof/>
                <w:webHidden/>
              </w:rPr>
              <w:instrText xml:space="preserve"> PAGEREF _Toc161050723 \h </w:instrText>
            </w:r>
            <w:r w:rsidR="002F0682">
              <w:rPr>
                <w:noProof/>
                <w:webHidden/>
              </w:rPr>
            </w:r>
            <w:r w:rsidR="002F0682">
              <w:rPr>
                <w:noProof/>
                <w:webHidden/>
              </w:rPr>
              <w:fldChar w:fldCharType="separate"/>
            </w:r>
            <w:r w:rsidR="00ED160F">
              <w:rPr>
                <w:noProof/>
                <w:webHidden/>
              </w:rPr>
              <w:t>7</w:t>
            </w:r>
            <w:r w:rsidR="002F0682">
              <w:rPr>
                <w:noProof/>
                <w:webHidden/>
              </w:rPr>
              <w:fldChar w:fldCharType="end"/>
            </w:r>
          </w:hyperlink>
        </w:p>
        <w:p w14:paraId="34324FBF" w14:textId="146DD13B" w:rsidR="002F0682" w:rsidRDefault="00BC08EF">
          <w:pPr>
            <w:pStyle w:val="TOC1"/>
            <w:tabs>
              <w:tab w:val="left" w:pos="440"/>
              <w:tab w:val="right" w:leader="dot" w:pos="9062"/>
            </w:tabs>
            <w:rPr>
              <w:rFonts w:eastAsiaTheme="minorEastAsia" w:cstheme="minorBidi"/>
              <w:b w:val="0"/>
              <w:bCs w:val="0"/>
              <w:noProof/>
              <w:kern w:val="2"/>
              <w:sz w:val="22"/>
              <w:szCs w:val="22"/>
              <w:lang w:eastAsia="en-GB"/>
              <w14:ligatures w14:val="standardContextual"/>
            </w:rPr>
          </w:pPr>
          <w:hyperlink w:anchor="_Toc161050724" w:history="1">
            <w:r w:rsidR="002F0682" w:rsidRPr="00476B31">
              <w:rPr>
                <w:rStyle w:val="Hyperlink"/>
                <w:rFonts w:ascii="Times New Roman" w:eastAsia="Times New Roman" w:hAnsi="Times New Roman" w:cs="Times New Roman"/>
                <w:noProof/>
                <w:lang w:val="de-DE"/>
              </w:rPr>
              <w:t>V</w:t>
            </w:r>
            <w:r w:rsidR="002F0682">
              <w:rPr>
                <w:rFonts w:eastAsiaTheme="minorEastAsia" w:cstheme="minorBidi"/>
                <w:b w:val="0"/>
                <w:bCs w:val="0"/>
                <w:noProof/>
                <w:kern w:val="2"/>
                <w:sz w:val="22"/>
                <w:szCs w:val="22"/>
                <w:lang w:eastAsia="en-GB"/>
                <w14:ligatures w14:val="standardContextual"/>
              </w:rPr>
              <w:tab/>
            </w:r>
            <w:r w:rsidR="002F0682" w:rsidRPr="00476B31">
              <w:rPr>
                <w:rStyle w:val="Hyperlink"/>
                <w:rFonts w:ascii="Times New Roman" w:eastAsia="Times New Roman" w:hAnsi="Times New Roman" w:cs="Times New Roman"/>
                <w:noProof/>
                <w:lang w:val="de-DE"/>
              </w:rPr>
              <w:t>Nachhaltigkeitskriterien und ihre Durchsetzbarkeit</w:t>
            </w:r>
            <w:r w:rsidR="002F0682">
              <w:rPr>
                <w:noProof/>
                <w:webHidden/>
              </w:rPr>
              <w:tab/>
            </w:r>
            <w:r w:rsidR="002F0682">
              <w:rPr>
                <w:noProof/>
                <w:webHidden/>
              </w:rPr>
              <w:fldChar w:fldCharType="begin"/>
            </w:r>
            <w:r w:rsidR="002F0682">
              <w:rPr>
                <w:noProof/>
                <w:webHidden/>
              </w:rPr>
              <w:instrText xml:space="preserve"> PAGEREF _Toc161050724 \h </w:instrText>
            </w:r>
            <w:r w:rsidR="002F0682">
              <w:rPr>
                <w:noProof/>
                <w:webHidden/>
              </w:rPr>
            </w:r>
            <w:r w:rsidR="002F0682">
              <w:rPr>
                <w:noProof/>
                <w:webHidden/>
              </w:rPr>
              <w:fldChar w:fldCharType="separate"/>
            </w:r>
            <w:r w:rsidR="00ED160F">
              <w:rPr>
                <w:noProof/>
                <w:webHidden/>
              </w:rPr>
              <w:t>8</w:t>
            </w:r>
            <w:r w:rsidR="002F0682">
              <w:rPr>
                <w:noProof/>
                <w:webHidden/>
              </w:rPr>
              <w:fldChar w:fldCharType="end"/>
            </w:r>
          </w:hyperlink>
        </w:p>
        <w:p w14:paraId="092A19DF" w14:textId="4F630D74" w:rsidR="002F0682" w:rsidRDefault="00BC08EF">
          <w:pPr>
            <w:pStyle w:val="TOC1"/>
            <w:tabs>
              <w:tab w:val="left" w:pos="660"/>
              <w:tab w:val="right" w:leader="dot" w:pos="9062"/>
            </w:tabs>
            <w:rPr>
              <w:rFonts w:eastAsiaTheme="minorEastAsia" w:cstheme="minorBidi"/>
              <w:b w:val="0"/>
              <w:bCs w:val="0"/>
              <w:noProof/>
              <w:kern w:val="2"/>
              <w:sz w:val="22"/>
              <w:szCs w:val="22"/>
              <w:lang w:eastAsia="en-GB"/>
              <w14:ligatures w14:val="standardContextual"/>
            </w:rPr>
          </w:pPr>
          <w:hyperlink w:anchor="_Toc161050725" w:history="1">
            <w:r w:rsidR="002F0682" w:rsidRPr="00476B31">
              <w:rPr>
                <w:rStyle w:val="Hyperlink"/>
                <w:rFonts w:ascii="Times New Roman" w:hAnsi="Times New Roman" w:cs="Times New Roman"/>
                <w:noProof/>
                <w:shd w:val="clear" w:color="auto" w:fill="FFFFFF"/>
                <w:lang w:val="de-DE"/>
              </w:rPr>
              <w:t>VI</w:t>
            </w:r>
            <w:r w:rsidR="00FE7DCE">
              <w:rPr>
                <w:rFonts w:eastAsiaTheme="minorEastAsia" w:cstheme="minorBidi"/>
                <w:b w:val="0"/>
                <w:bCs w:val="0"/>
                <w:noProof/>
                <w:kern w:val="2"/>
                <w:sz w:val="22"/>
                <w:szCs w:val="22"/>
                <w:lang w:eastAsia="en-GB"/>
                <w14:ligatures w14:val="standardContextual"/>
              </w:rPr>
              <w:t xml:space="preserve">    </w:t>
            </w:r>
            <w:r w:rsidR="002F0682" w:rsidRPr="00476B31">
              <w:rPr>
                <w:rStyle w:val="Hyperlink"/>
                <w:rFonts w:ascii="Times New Roman" w:hAnsi="Times New Roman" w:cs="Times New Roman"/>
                <w:noProof/>
                <w:shd w:val="clear" w:color="auto" w:fill="FFFFFF"/>
                <w:lang w:val="de-DE"/>
              </w:rPr>
              <w:t xml:space="preserve">Wettbewerbsbestimmungen in </w:t>
            </w:r>
            <w:r w:rsidR="004361B2">
              <w:rPr>
                <w:rStyle w:val="Hyperlink"/>
                <w:rFonts w:ascii="Times New Roman" w:hAnsi="Times New Roman" w:cs="Times New Roman"/>
                <w:noProof/>
                <w:shd w:val="clear" w:color="auto" w:fill="FFFFFF"/>
                <w:lang w:val="de-DE"/>
              </w:rPr>
              <w:t>H</w:t>
            </w:r>
            <w:r w:rsidR="002F0682" w:rsidRPr="00476B31">
              <w:rPr>
                <w:rStyle w:val="Hyperlink"/>
                <w:rFonts w:ascii="Times New Roman" w:hAnsi="Times New Roman" w:cs="Times New Roman"/>
                <w:noProof/>
                <w:shd w:val="clear" w:color="auto" w:fill="FFFFFF"/>
                <w:lang w:val="de-DE"/>
              </w:rPr>
              <w:t>andelsabkommen</w:t>
            </w:r>
            <w:r w:rsidR="002F0682">
              <w:rPr>
                <w:noProof/>
                <w:webHidden/>
              </w:rPr>
              <w:tab/>
            </w:r>
            <w:r w:rsidR="002F0682">
              <w:rPr>
                <w:noProof/>
                <w:webHidden/>
              </w:rPr>
              <w:fldChar w:fldCharType="begin"/>
            </w:r>
            <w:r w:rsidR="002F0682">
              <w:rPr>
                <w:noProof/>
                <w:webHidden/>
              </w:rPr>
              <w:instrText xml:space="preserve"> PAGEREF _Toc161050725 \h </w:instrText>
            </w:r>
            <w:r w:rsidR="002F0682">
              <w:rPr>
                <w:noProof/>
                <w:webHidden/>
              </w:rPr>
            </w:r>
            <w:r w:rsidR="002F0682">
              <w:rPr>
                <w:noProof/>
                <w:webHidden/>
              </w:rPr>
              <w:fldChar w:fldCharType="separate"/>
            </w:r>
            <w:r w:rsidR="00ED160F">
              <w:rPr>
                <w:noProof/>
                <w:webHidden/>
              </w:rPr>
              <w:t>9</w:t>
            </w:r>
            <w:r w:rsidR="002F0682">
              <w:rPr>
                <w:noProof/>
                <w:webHidden/>
              </w:rPr>
              <w:fldChar w:fldCharType="end"/>
            </w:r>
          </w:hyperlink>
        </w:p>
        <w:p w14:paraId="2F2F3E6E" w14:textId="47F1C8CF" w:rsidR="002F0682" w:rsidRDefault="00FE7DCE" w:rsidP="00FE7DCE">
          <w:pPr>
            <w:pStyle w:val="TOC2"/>
            <w:ind w:left="0"/>
            <w:rPr>
              <w:rFonts w:asciiTheme="minorHAnsi" w:eastAsiaTheme="minorEastAsia" w:hAnsiTheme="minorHAnsi" w:cstheme="minorBidi"/>
              <w:b w:val="0"/>
              <w:bCs w:val="0"/>
              <w:kern w:val="2"/>
              <w:sz w:val="22"/>
              <w:szCs w:val="22"/>
              <w:lang w:val="en-GB"/>
              <w14:ligatures w14:val="standardContextual"/>
            </w:rPr>
          </w:pPr>
          <w:r>
            <w:t xml:space="preserve">         </w:t>
          </w:r>
          <w:hyperlink w:anchor="_Toc161050726" w:history="1">
            <w:r w:rsidR="002F0682" w:rsidRPr="00476B31">
              <w:rPr>
                <w:rStyle w:val="Hyperlink"/>
              </w:rPr>
              <w:t>Verordnung der Europäischen Kommission zu Subventionen aus dem Ausland</w:t>
            </w:r>
            <w:r w:rsidR="002F0682">
              <w:rPr>
                <w:webHidden/>
              </w:rPr>
              <w:tab/>
            </w:r>
            <w:r w:rsidR="002F0682">
              <w:rPr>
                <w:webHidden/>
              </w:rPr>
              <w:fldChar w:fldCharType="begin"/>
            </w:r>
            <w:r w:rsidR="002F0682">
              <w:rPr>
                <w:webHidden/>
              </w:rPr>
              <w:instrText xml:space="preserve"> PAGEREF _Toc161050726 \h </w:instrText>
            </w:r>
            <w:r w:rsidR="002F0682">
              <w:rPr>
                <w:webHidden/>
              </w:rPr>
            </w:r>
            <w:r w:rsidR="002F0682">
              <w:rPr>
                <w:webHidden/>
              </w:rPr>
              <w:fldChar w:fldCharType="separate"/>
            </w:r>
            <w:r w:rsidR="00ED160F">
              <w:rPr>
                <w:webHidden/>
              </w:rPr>
              <w:t>14</w:t>
            </w:r>
            <w:r w:rsidR="002F0682">
              <w:rPr>
                <w:webHidden/>
              </w:rPr>
              <w:fldChar w:fldCharType="end"/>
            </w:r>
          </w:hyperlink>
        </w:p>
        <w:p w14:paraId="427AC133" w14:textId="1A75919A" w:rsidR="002F0682" w:rsidRDefault="00BC08EF">
          <w:pPr>
            <w:pStyle w:val="TOC1"/>
            <w:tabs>
              <w:tab w:val="left" w:pos="660"/>
              <w:tab w:val="right" w:leader="dot" w:pos="9062"/>
            </w:tabs>
            <w:rPr>
              <w:rFonts w:eastAsiaTheme="minorEastAsia" w:cstheme="minorBidi"/>
              <w:b w:val="0"/>
              <w:bCs w:val="0"/>
              <w:noProof/>
              <w:kern w:val="2"/>
              <w:sz w:val="22"/>
              <w:szCs w:val="22"/>
              <w:lang w:eastAsia="en-GB"/>
              <w14:ligatures w14:val="standardContextual"/>
            </w:rPr>
          </w:pPr>
          <w:hyperlink w:anchor="_Toc161050727" w:history="1">
            <w:r w:rsidR="002F0682" w:rsidRPr="00476B31">
              <w:rPr>
                <w:rStyle w:val="Hyperlink"/>
                <w:rFonts w:ascii="Times New Roman" w:hAnsi="Times New Roman" w:cs="Times New Roman"/>
                <w:noProof/>
                <w:lang w:val="de-DE"/>
              </w:rPr>
              <w:t>VII</w:t>
            </w:r>
            <w:r w:rsidR="00FE7DCE">
              <w:rPr>
                <w:rFonts w:eastAsiaTheme="minorEastAsia" w:cstheme="minorBidi"/>
                <w:b w:val="0"/>
                <w:bCs w:val="0"/>
                <w:noProof/>
                <w:kern w:val="2"/>
                <w:sz w:val="22"/>
                <w:szCs w:val="22"/>
                <w:lang w:eastAsia="en-GB"/>
                <w14:ligatures w14:val="standardContextual"/>
              </w:rPr>
              <w:t xml:space="preserve">    </w:t>
            </w:r>
            <w:r w:rsidR="002F0682" w:rsidRPr="00476B31">
              <w:rPr>
                <w:rStyle w:val="Hyperlink"/>
                <w:rFonts w:ascii="Times New Roman" w:eastAsia="Times New Roman" w:hAnsi="Times New Roman" w:cs="Times New Roman"/>
                <w:noProof/>
                <w:lang w:val="de-DE" w:eastAsia="en-GB"/>
              </w:rPr>
              <w:t>Resümee und Schlussfolgerungen</w:t>
            </w:r>
            <w:r w:rsidR="002F0682">
              <w:rPr>
                <w:noProof/>
                <w:webHidden/>
              </w:rPr>
              <w:tab/>
            </w:r>
            <w:r w:rsidR="002F0682">
              <w:rPr>
                <w:noProof/>
                <w:webHidden/>
              </w:rPr>
              <w:fldChar w:fldCharType="begin"/>
            </w:r>
            <w:r w:rsidR="002F0682">
              <w:rPr>
                <w:noProof/>
                <w:webHidden/>
              </w:rPr>
              <w:instrText xml:space="preserve"> PAGEREF _Toc161050727 \h </w:instrText>
            </w:r>
            <w:r w:rsidR="002F0682">
              <w:rPr>
                <w:noProof/>
                <w:webHidden/>
              </w:rPr>
            </w:r>
            <w:r w:rsidR="002F0682">
              <w:rPr>
                <w:noProof/>
                <w:webHidden/>
              </w:rPr>
              <w:fldChar w:fldCharType="separate"/>
            </w:r>
            <w:r w:rsidR="00ED160F">
              <w:rPr>
                <w:noProof/>
                <w:webHidden/>
              </w:rPr>
              <w:t>16</w:t>
            </w:r>
            <w:r w:rsidR="002F0682">
              <w:rPr>
                <w:noProof/>
                <w:webHidden/>
              </w:rPr>
              <w:fldChar w:fldCharType="end"/>
            </w:r>
          </w:hyperlink>
        </w:p>
        <w:p w14:paraId="62A9A11D" w14:textId="7A52A70D" w:rsidR="008E440F" w:rsidRPr="00EF073F" w:rsidRDefault="00F96623" w:rsidP="00F44950">
          <w:r w:rsidRPr="008E5BE4">
            <w:rPr>
              <w:rFonts w:ascii="Times New Roman" w:hAnsi="Times New Roman" w:cs="Times New Roman"/>
              <w:noProof/>
              <w:sz w:val="24"/>
              <w:szCs w:val="24"/>
            </w:rPr>
            <w:fldChar w:fldCharType="end"/>
          </w:r>
        </w:p>
      </w:sdtContent>
    </w:sdt>
    <w:p w14:paraId="1DA38AB6" w14:textId="5B5F63A6" w:rsidR="007F082F" w:rsidRDefault="0059586E" w:rsidP="008C0178">
      <w:pPr>
        <w:jc w:val="both"/>
        <w:rPr>
          <w:rFonts w:ascii="Times New Roman" w:eastAsia="Times New Roman" w:hAnsi="Times New Roman" w:cs="Times New Roman"/>
          <w:sz w:val="24"/>
          <w:szCs w:val="24"/>
          <w:lang w:val="de-DE"/>
        </w:rPr>
      </w:pPr>
      <w:r w:rsidRPr="0037729D">
        <w:rPr>
          <w:rFonts w:ascii="Times New Roman" w:eastAsia="Times New Roman" w:hAnsi="Times New Roman" w:cs="Times New Roman"/>
          <w:sz w:val="24"/>
          <w:szCs w:val="24"/>
          <w:lang w:val="de-DE"/>
        </w:rPr>
        <w:t xml:space="preserve">In </w:t>
      </w:r>
      <w:r>
        <w:rPr>
          <w:rFonts w:ascii="Times New Roman" w:eastAsia="Times New Roman" w:hAnsi="Times New Roman" w:cs="Times New Roman"/>
          <w:sz w:val="24"/>
          <w:szCs w:val="24"/>
          <w:lang w:val="de-DE"/>
        </w:rPr>
        <w:t xml:space="preserve">den </w:t>
      </w:r>
      <w:r w:rsidRPr="0037729D">
        <w:rPr>
          <w:rFonts w:ascii="Times New Roman" w:eastAsia="Times New Roman" w:hAnsi="Times New Roman" w:cs="Times New Roman"/>
          <w:sz w:val="24"/>
          <w:szCs w:val="24"/>
          <w:lang w:val="de-DE"/>
        </w:rPr>
        <w:t>Abschnitt</w:t>
      </w:r>
      <w:r>
        <w:rPr>
          <w:rFonts w:ascii="Times New Roman" w:eastAsia="Times New Roman" w:hAnsi="Times New Roman" w:cs="Times New Roman"/>
          <w:sz w:val="24"/>
          <w:szCs w:val="24"/>
          <w:lang w:val="de-DE"/>
        </w:rPr>
        <w:t>en</w:t>
      </w:r>
      <w:r w:rsidRPr="0037729D">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I, II und III</w:t>
      </w:r>
      <w:r w:rsidRPr="0037729D">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wird die Frage der Kompetenzverteilung zum Abschluss von Handelsverträgen behandelt und werden </w:t>
      </w:r>
      <w:r w:rsidRPr="00872B93">
        <w:rPr>
          <w:rFonts w:ascii="Times New Roman" w:eastAsia="Times New Roman" w:hAnsi="Times New Roman" w:cs="Times New Roman"/>
          <w:sz w:val="24"/>
          <w:szCs w:val="24"/>
          <w:lang w:val="de-DE"/>
        </w:rPr>
        <w:t>Rechtsprechung des Europäischen Gerichtshofes</w:t>
      </w:r>
      <w:r>
        <w:rPr>
          <w:rFonts w:ascii="Times New Roman" w:eastAsia="Times New Roman" w:hAnsi="Times New Roman" w:cs="Times New Roman"/>
          <w:sz w:val="24"/>
          <w:szCs w:val="24"/>
          <w:lang w:val="de-DE"/>
        </w:rPr>
        <w:t xml:space="preserve"> und Erkenntnisse des deutschen Bundesverfassungsgerichtes analysiert.</w:t>
      </w:r>
      <w:r w:rsidR="00D260AD">
        <w:rPr>
          <w:rFonts w:ascii="Times New Roman" w:eastAsia="Times New Roman" w:hAnsi="Times New Roman" w:cs="Times New Roman"/>
          <w:sz w:val="24"/>
          <w:szCs w:val="24"/>
          <w:lang w:val="de-DE"/>
        </w:rPr>
        <w:t xml:space="preserve"> </w:t>
      </w:r>
      <w:r w:rsidR="002678FA">
        <w:rPr>
          <w:rFonts w:ascii="Times New Roman" w:eastAsia="Times New Roman" w:hAnsi="Times New Roman" w:cs="Times New Roman"/>
          <w:sz w:val="24"/>
          <w:szCs w:val="24"/>
          <w:lang w:val="de-DE"/>
        </w:rPr>
        <w:t xml:space="preserve">Die Abschnitte </w:t>
      </w:r>
      <w:r w:rsidR="00F04F40">
        <w:rPr>
          <w:rFonts w:ascii="Times New Roman" w:eastAsia="Times New Roman" w:hAnsi="Times New Roman" w:cs="Times New Roman"/>
          <w:sz w:val="24"/>
          <w:szCs w:val="24"/>
          <w:lang w:val="de-DE"/>
        </w:rPr>
        <w:t>I</w:t>
      </w:r>
      <w:r w:rsidR="002678FA">
        <w:rPr>
          <w:rFonts w:ascii="Times New Roman" w:eastAsia="Times New Roman" w:hAnsi="Times New Roman" w:cs="Times New Roman"/>
          <w:sz w:val="24"/>
          <w:szCs w:val="24"/>
          <w:lang w:val="de-DE"/>
        </w:rPr>
        <w:t xml:space="preserve">V und V setzen sich mit der Durchsetzbarkeit von Nachhaltigkeitskriterien im geplanten Abkommen EU-Mercosur auseinander. </w:t>
      </w:r>
      <w:r w:rsidR="002678FA" w:rsidRPr="0037729D">
        <w:rPr>
          <w:rFonts w:ascii="Times New Roman" w:eastAsia="Times New Roman" w:hAnsi="Times New Roman" w:cs="Times New Roman"/>
          <w:sz w:val="24"/>
          <w:szCs w:val="24"/>
          <w:lang w:val="de-DE"/>
        </w:rPr>
        <w:t xml:space="preserve">In </w:t>
      </w:r>
      <w:r w:rsidRPr="0037729D">
        <w:rPr>
          <w:rFonts w:ascii="Times New Roman" w:eastAsia="Times New Roman" w:hAnsi="Times New Roman" w:cs="Times New Roman"/>
          <w:sz w:val="24"/>
          <w:szCs w:val="24"/>
          <w:lang w:val="de-DE"/>
        </w:rPr>
        <w:t xml:space="preserve">Abschnitt </w:t>
      </w:r>
      <w:r>
        <w:rPr>
          <w:rFonts w:ascii="Times New Roman" w:eastAsia="Times New Roman" w:hAnsi="Times New Roman" w:cs="Times New Roman"/>
          <w:sz w:val="24"/>
          <w:szCs w:val="24"/>
          <w:lang w:val="de-DE"/>
        </w:rPr>
        <w:t>V</w:t>
      </w:r>
      <w:r w:rsidR="00F04F40">
        <w:rPr>
          <w:rFonts w:ascii="Times New Roman" w:eastAsia="Times New Roman" w:hAnsi="Times New Roman" w:cs="Times New Roman"/>
          <w:sz w:val="24"/>
          <w:szCs w:val="24"/>
          <w:lang w:val="de-DE"/>
        </w:rPr>
        <w:t>I</w:t>
      </w:r>
      <w:r w:rsidRPr="0037729D">
        <w:rPr>
          <w:rFonts w:ascii="Times New Roman" w:eastAsia="Times New Roman" w:hAnsi="Times New Roman" w:cs="Times New Roman"/>
          <w:sz w:val="24"/>
          <w:szCs w:val="24"/>
          <w:lang w:val="de-DE"/>
        </w:rPr>
        <w:t xml:space="preserve"> werden </w:t>
      </w:r>
      <w:r w:rsidR="00BE6726" w:rsidRPr="00724EDF">
        <w:rPr>
          <w:rFonts w:ascii="Times New Roman" w:hAnsi="Times New Roman" w:cs="Times New Roman"/>
          <w:color w:val="242424"/>
          <w:sz w:val="24"/>
          <w:szCs w:val="24"/>
          <w:shd w:val="clear" w:color="auto" w:fill="FFFFFF"/>
          <w:lang w:val="de-DE"/>
        </w:rPr>
        <w:t>W</w:t>
      </w:r>
      <w:r w:rsidR="00BE6726">
        <w:rPr>
          <w:rFonts w:ascii="Times New Roman" w:hAnsi="Times New Roman" w:cs="Times New Roman"/>
          <w:color w:val="242424"/>
          <w:sz w:val="24"/>
          <w:szCs w:val="24"/>
          <w:shd w:val="clear" w:color="auto" w:fill="FFFFFF"/>
          <w:lang w:val="de-DE"/>
        </w:rPr>
        <w:t>ettbewerbsbestimmungen</w:t>
      </w:r>
      <w:r w:rsidR="00BE6726" w:rsidRPr="00724EDF">
        <w:rPr>
          <w:rFonts w:ascii="Times New Roman" w:hAnsi="Times New Roman" w:cs="Times New Roman"/>
          <w:color w:val="242424"/>
          <w:sz w:val="24"/>
          <w:szCs w:val="24"/>
          <w:shd w:val="clear" w:color="auto" w:fill="FFFFFF"/>
          <w:lang w:val="de-DE"/>
        </w:rPr>
        <w:t xml:space="preserve"> </w:t>
      </w:r>
      <w:r w:rsidR="002678FA">
        <w:rPr>
          <w:rFonts w:ascii="Times New Roman" w:hAnsi="Times New Roman" w:cs="Times New Roman"/>
          <w:color w:val="242424"/>
          <w:sz w:val="24"/>
          <w:szCs w:val="24"/>
          <w:shd w:val="clear" w:color="auto" w:fill="FFFFFF"/>
          <w:lang w:val="de-DE"/>
        </w:rPr>
        <w:t xml:space="preserve">in Handelsabkommen </w:t>
      </w:r>
      <w:r w:rsidRPr="0037729D">
        <w:rPr>
          <w:rFonts w:ascii="Times New Roman" w:eastAsia="Times New Roman" w:hAnsi="Times New Roman" w:cs="Times New Roman"/>
          <w:sz w:val="24"/>
          <w:szCs w:val="24"/>
          <w:lang w:val="de-DE"/>
        </w:rPr>
        <w:t>untersucht</w:t>
      </w:r>
      <w:r w:rsidR="00F04F40">
        <w:rPr>
          <w:rFonts w:ascii="Times New Roman" w:eastAsia="Times New Roman" w:hAnsi="Times New Roman" w:cs="Times New Roman"/>
          <w:sz w:val="24"/>
          <w:szCs w:val="24"/>
          <w:lang w:val="de-DE"/>
        </w:rPr>
        <w:t xml:space="preserve"> und</w:t>
      </w:r>
      <w:r>
        <w:rPr>
          <w:rFonts w:ascii="Times New Roman" w:eastAsia="Times New Roman" w:hAnsi="Times New Roman" w:cs="Times New Roman"/>
          <w:sz w:val="24"/>
          <w:szCs w:val="24"/>
          <w:lang w:val="de-DE"/>
        </w:rPr>
        <w:t xml:space="preserve"> </w:t>
      </w:r>
      <w:r w:rsidR="00F04F40">
        <w:rPr>
          <w:rFonts w:ascii="Times New Roman" w:eastAsia="Times New Roman" w:hAnsi="Times New Roman" w:cs="Times New Roman"/>
          <w:sz w:val="24"/>
          <w:szCs w:val="24"/>
          <w:lang w:val="de-DE"/>
        </w:rPr>
        <w:t xml:space="preserve">der </w:t>
      </w:r>
      <w:r w:rsidRPr="0037729D">
        <w:rPr>
          <w:rFonts w:ascii="Times New Roman" w:eastAsia="Times New Roman" w:hAnsi="Times New Roman" w:cs="Times New Roman"/>
          <w:sz w:val="24"/>
          <w:szCs w:val="24"/>
          <w:lang w:val="de-DE"/>
        </w:rPr>
        <w:t xml:space="preserve">EU-Rechtsrahmen für staatliche Beihilfen </w:t>
      </w:r>
      <w:r w:rsidR="00F04F40">
        <w:rPr>
          <w:rFonts w:ascii="Times New Roman" w:eastAsia="Times New Roman" w:hAnsi="Times New Roman" w:cs="Times New Roman"/>
          <w:sz w:val="24"/>
          <w:szCs w:val="24"/>
          <w:lang w:val="de-DE"/>
        </w:rPr>
        <w:t>sowie</w:t>
      </w:r>
      <w:r>
        <w:rPr>
          <w:rFonts w:ascii="Times New Roman" w:eastAsia="Times New Roman" w:hAnsi="Times New Roman" w:cs="Times New Roman"/>
          <w:sz w:val="24"/>
          <w:szCs w:val="24"/>
          <w:lang w:val="de-DE"/>
        </w:rPr>
        <w:t xml:space="preserve"> die jüngst in Kraft getretene Verordnung für drittstaatliche Beihilfen </w:t>
      </w:r>
      <w:r w:rsidR="00F04F40">
        <w:rPr>
          <w:rFonts w:ascii="Times New Roman" w:eastAsia="Times New Roman" w:hAnsi="Times New Roman" w:cs="Times New Roman"/>
          <w:sz w:val="24"/>
          <w:szCs w:val="24"/>
          <w:lang w:val="de-DE"/>
        </w:rPr>
        <w:t xml:space="preserve">besprochen. Untersucht werden auch die in den </w:t>
      </w:r>
      <w:r w:rsidRPr="0037729D">
        <w:rPr>
          <w:rFonts w:ascii="Times New Roman" w:eastAsia="Times New Roman" w:hAnsi="Times New Roman" w:cs="Times New Roman"/>
          <w:sz w:val="24"/>
          <w:szCs w:val="24"/>
          <w:lang w:val="de-DE"/>
        </w:rPr>
        <w:t xml:space="preserve"> jüngsten Präferenzhandelsabkommen der EU enthaltenen Bestimmungen über Subventionen und staatseigene Unternehmen</w:t>
      </w:r>
      <w:r>
        <w:rPr>
          <w:rFonts w:ascii="Times New Roman" w:eastAsia="Times New Roman" w:hAnsi="Times New Roman" w:cs="Times New Roman"/>
          <w:sz w:val="24"/>
          <w:szCs w:val="24"/>
          <w:lang w:val="de-DE"/>
        </w:rPr>
        <w:t>.</w:t>
      </w:r>
      <w:r w:rsidR="00A3125A">
        <w:rPr>
          <w:rFonts w:ascii="Times New Roman" w:eastAsia="Times New Roman" w:hAnsi="Times New Roman" w:cs="Times New Roman"/>
          <w:sz w:val="24"/>
          <w:szCs w:val="24"/>
          <w:lang w:val="de-DE"/>
        </w:rPr>
        <w:t xml:space="preserve"> </w:t>
      </w:r>
    </w:p>
    <w:p w14:paraId="722AA196" w14:textId="2034BFE1" w:rsidR="009C5C34" w:rsidRDefault="0059586E" w:rsidP="009C5C34">
      <w:pPr>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A</w:t>
      </w:r>
      <w:r w:rsidRPr="0037729D">
        <w:rPr>
          <w:rFonts w:ascii="Times New Roman" w:eastAsia="Times New Roman" w:hAnsi="Times New Roman" w:cs="Times New Roman"/>
          <w:sz w:val="24"/>
          <w:szCs w:val="24"/>
          <w:lang w:val="de-DE"/>
        </w:rPr>
        <w:t xml:space="preserve">bschnitt </w:t>
      </w:r>
      <w:r>
        <w:rPr>
          <w:rFonts w:ascii="Times New Roman" w:eastAsia="Times New Roman" w:hAnsi="Times New Roman" w:cs="Times New Roman"/>
          <w:sz w:val="24"/>
          <w:szCs w:val="24"/>
          <w:lang w:val="de-DE"/>
        </w:rPr>
        <w:t>VII</w:t>
      </w:r>
      <w:r w:rsidRPr="0037729D">
        <w:rPr>
          <w:rFonts w:ascii="Times New Roman" w:eastAsia="Times New Roman" w:hAnsi="Times New Roman" w:cs="Times New Roman"/>
          <w:sz w:val="24"/>
          <w:szCs w:val="24"/>
          <w:lang w:val="de-DE"/>
        </w:rPr>
        <w:t xml:space="preserve"> enthält eine </w:t>
      </w:r>
      <w:r>
        <w:rPr>
          <w:rFonts w:ascii="Times New Roman" w:eastAsia="Times New Roman" w:hAnsi="Times New Roman" w:cs="Times New Roman"/>
          <w:sz w:val="24"/>
          <w:szCs w:val="24"/>
          <w:lang w:val="de-DE"/>
        </w:rPr>
        <w:t>Schlussfolgerung</w:t>
      </w:r>
      <w:r w:rsidR="007F082F">
        <w:rPr>
          <w:rFonts w:ascii="Times New Roman" w:eastAsia="Times New Roman" w:hAnsi="Times New Roman" w:cs="Times New Roman"/>
          <w:sz w:val="24"/>
          <w:szCs w:val="24"/>
          <w:lang w:val="de-DE"/>
        </w:rPr>
        <w:t xml:space="preserve"> sowie Anregungen</w:t>
      </w:r>
      <w:r>
        <w:rPr>
          <w:rFonts w:ascii="Times New Roman" w:eastAsia="Times New Roman" w:hAnsi="Times New Roman" w:cs="Times New Roman"/>
          <w:sz w:val="24"/>
          <w:szCs w:val="24"/>
          <w:lang w:val="de-DE"/>
        </w:rPr>
        <w:t>, wie in Hinkunft Handelsverträge zu einem rascheren Abschluss kommen können</w:t>
      </w:r>
      <w:r w:rsidR="008C0178">
        <w:rPr>
          <w:rFonts w:ascii="Times New Roman" w:eastAsia="Times New Roman" w:hAnsi="Times New Roman" w:cs="Times New Roman"/>
          <w:sz w:val="24"/>
          <w:szCs w:val="24"/>
          <w:lang w:val="de-DE"/>
        </w:rPr>
        <w:t xml:space="preserve"> </w:t>
      </w:r>
      <w:r w:rsidR="008C0178" w:rsidRPr="008C0178">
        <w:rPr>
          <w:rFonts w:ascii="Times New Roman" w:eastAsia="Times New Roman" w:hAnsi="Times New Roman" w:cs="Times New Roman"/>
          <w:sz w:val="24"/>
          <w:szCs w:val="24"/>
          <w:lang w:val="de-DE"/>
        </w:rPr>
        <w:t xml:space="preserve">und </w:t>
      </w:r>
      <w:r w:rsidR="008C0178" w:rsidRPr="00F04F40">
        <w:rPr>
          <w:rFonts w:ascii="Times New Roman" w:eastAsia="Times New Roman" w:hAnsi="Times New Roman" w:cs="Times New Roman"/>
          <w:sz w:val="24"/>
          <w:szCs w:val="24"/>
          <w:lang w:val="de-DE"/>
        </w:rPr>
        <w:t xml:space="preserve">wie die EU mit Hilfe der Verordnung zu </w:t>
      </w:r>
      <w:proofErr w:type="spellStart"/>
      <w:r w:rsidR="008C0178" w:rsidRPr="00F04F40">
        <w:rPr>
          <w:rFonts w:ascii="Times New Roman" w:eastAsia="Times New Roman" w:hAnsi="Times New Roman" w:cs="Times New Roman"/>
          <w:sz w:val="24"/>
          <w:szCs w:val="24"/>
          <w:lang w:val="de-DE"/>
        </w:rPr>
        <w:t>Drittlandssubventionen</w:t>
      </w:r>
      <w:proofErr w:type="spellEnd"/>
      <w:r w:rsidR="008C0178" w:rsidRPr="00F04F40">
        <w:rPr>
          <w:rFonts w:ascii="Times New Roman" w:eastAsia="Times New Roman" w:hAnsi="Times New Roman" w:cs="Times New Roman"/>
          <w:sz w:val="24"/>
          <w:szCs w:val="24"/>
          <w:lang w:val="de-DE"/>
        </w:rPr>
        <w:t xml:space="preserve"> und der Einleitung eines Verfahrens gegen Elektroautos aus China </w:t>
      </w:r>
      <w:r w:rsidR="00F04F40">
        <w:rPr>
          <w:rFonts w:ascii="Times New Roman" w:eastAsia="Times New Roman" w:hAnsi="Times New Roman" w:cs="Times New Roman"/>
          <w:sz w:val="24"/>
          <w:szCs w:val="24"/>
          <w:lang w:val="de-DE"/>
        </w:rPr>
        <w:t xml:space="preserve">sowie Strafzölle auf </w:t>
      </w:r>
      <w:proofErr w:type="spellStart"/>
      <w:r w:rsidR="00F04F40">
        <w:rPr>
          <w:rFonts w:ascii="Times New Roman" w:eastAsia="Times New Roman" w:hAnsi="Times New Roman" w:cs="Times New Roman"/>
          <w:sz w:val="24"/>
          <w:szCs w:val="24"/>
          <w:lang w:val="de-DE"/>
        </w:rPr>
        <w:t>Solarpanele</w:t>
      </w:r>
      <w:proofErr w:type="spellEnd"/>
      <w:r w:rsidR="00F04F40">
        <w:rPr>
          <w:rFonts w:ascii="Times New Roman" w:eastAsia="Times New Roman" w:hAnsi="Times New Roman" w:cs="Times New Roman"/>
          <w:sz w:val="24"/>
          <w:szCs w:val="24"/>
          <w:lang w:val="de-DE"/>
        </w:rPr>
        <w:t xml:space="preserve"> </w:t>
      </w:r>
      <w:r w:rsidR="008C0178" w:rsidRPr="00F04F40">
        <w:rPr>
          <w:rFonts w:ascii="Times New Roman" w:eastAsia="Times New Roman" w:hAnsi="Times New Roman" w:cs="Times New Roman"/>
          <w:sz w:val="24"/>
          <w:szCs w:val="24"/>
          <w:lang w:val="de-DE"/>
        </w:rPr>
        <w:t>ihren Markt zu schützen versucht</w:t>
      </w:r>
      <w:r w:rsidR="009C5C34">
        <w:rPr>
          <w:rFonts w:ascii="Times New Roman" w:eastAsia="Times New Roman" w:hAnsi="Times New Roman" w:cs="Times New Roman"/>
          <w:sz w:val="24"/>
          <w:szCs w:val="24"/>
          <w:lang w:val="de-DE"/>
        </w:rPr>
        <w:t xml:space="preserve">, und wie </w:t>
      </w:r>
      <w:r w:rsidR="009C5C34" w:rsidRPr="00F04F40">
        <w:rPr>
          <w:rFonts w:ascii="Times New Roman" w:eastAsia="Times New Roman" w:hAnsi="Times New Roman" w:cs="Times New Roman"/>
          <w:sz w:val="24"/>
          <w:szCs w:val="24"/>
          <w:lang w:val="de-DE"/>
        </w:rPr>
        <w:t xml:space="preserve">sich die </w:t>
      </w:r>
      <w:r w:rsidR="009C5C34">
        <w:rPr>
          <w:rFonts w:ascii="Times New Roman" w:eastAsia="Times New Roman" w:hAnsi="Times New Roman" w:cs="Times New Roman"/>
          <w:sz w:val="24"/>
          <w:szCs w:val="24"/>
          <w:lang w:val="de-DE"/>
        </w:rPr>
        <w:t>e</w:t>
      </w:r>
      <w:r w:rsidR="009C5C34" w:rsidRPr="00F04F40">
        <w:rPr>
          <w:rFonts w:ascii="Times New Roman" w:eastAsia="Times New Roman" w:hAnsi="Times New Roman" w:cs="Times New Roman"/>
          <w:sz w:val="24"/>
          <w:szCs w:val="24"/>
          <w:lang w:val="de-DE"/>
        </w:rPr>
        <w:t>uropäische Handelspolitik in Bezug auf den Schutz ihres Binnenmarktes vor ausländischen subventionierten Produkten in Hinkunft ausrichten wird.</w:t>
      </w:r>
    </w:p>
    <w:p w14:paraId="4AAECAC3" w14:textId="77777777" w:rsidR="00014056" w:rsidRDefault="0059586E" w:rsidP="00014056">
      <w:pPr>
        <w:pStyle w:val="Heading1"/>
        <w:rPr>
          <w:rFonts w:ascii="Times New Roman" w:hAnsi="Times New Roman" w:cs="Times New Roman"/>
          <w:b/>
          <w:bCs/>
          <w:color w:val="000000" w:themeColor="text1"/>
          <w:sz w:val="24"/>
          <w:szCs w:val="24"/>
          <w:lang w:val="de-AT"/>
        </w:rPr>
      </w:pPr>
      <w:bookmarkStart w:id="0" w:name="_Toc161050720"/>
      <w:r w:rsidRPr="00F96623">
        <w:rPr>
          <w:rFonts w:ascii="Times New Roman" w:eastAsia="Times New Roman" w:hAnsi="Times New Roman" w:cs="Times New Roman"/>
          <w:b/>
          <w:bCs/>
          <w:color w:val="000000" w:themeColor="text1"/>
          <w:sz w:val="24"/>
          <w:szCs w:val="24"/>
          <w:lang w:val="de-DE"/>
        </w:rPr>
        <w:t>I</w:t>
      </w:r>
      <w:r w:rsidRPr="00F96623">
        <w:rPr>
          <w:rFonts w:ascii="Times New Roman" w:hAnsi="Times New Roman" w:cs="Times New Roman"/>
          <w:b/>
          <w:bCs/>
          <w:color w:val="000000" w:themeColor="text1"/>
          <w:sz w:val="24"/>
          <w:szCs w:val="24"/>
          <w:lang w:val="de-AT"/>
        </w:rPr>
        <w:tab/>
        <w:t>Kompetenzverteilung</w:t>
      </w:r>
      <w:r w:rsidR="009F047C" w:rsidRPr="00F96623">
        <w:rPr>
          <w:rFonts w:ascii="Times New Roman" w:hAnsi="Times New Roman" w:cs="Times New Roman"/>
          <w:b/>
          <w:bCs/>
          <w:color w:val="000000" w:themeColor="text1"/>
          <w:sz w:val="24"/>
          <w:szCs w:val="24"/>
          <w:lang w:val="de-AT"/>
        </w:rPr>
        <w:t xml:space="preserve"> zum Abschluss von Handelsabkommen</w:t>
      </w:r>
      <w:bookmarkEnd w:id="0"/>
    </w:p>
    <w:p w14:paraId="06060416" w14:textId="7CF498FC" w:rsidR="0059586E" w:rsidRDefault="0059586E" w:rsidP="009C5C34">
      <w:pPr>
        <w:pStyle w:val="Heading1"/>
        <w:jc w:val="both"/>
        <w:rPr>
          <w:rFonts w:ascii="Times New Roman" w:eastAsia="Times New Roman" w:hAnsi="Times New Roman" w:cs="Times New Roman"/>
          <w:color w:val="242424"/>
          <w:spacing w:val="3"/>
          <w:sz w:val="24"/>
          <w:szCs w:val="24"/>
          <w:lang w:val="de-DE" w:eastAsia="en-GB"/>
        </w:rPr>
      </w:pPr>
      <w:r w:rsidRPr="00724EDF">
        <w:rPr>
          <w:rFonts w:ascii="Times New Roman" w:eastAsia="Times New Roman" w:hAnsi="Times New Roman" w:cs="Times New Roman"/>
          <w:color w:val="242424"/>
          <w:spacing w:val="3"/>
          <w:sz w:val="24"/>
          <w:szCs w:val="24"/>
          <w:lang w:val="de-DE" w:eastAsia="en-GB"/>
        </w:rPr>
        <w:t>Die Gemeinsame Handelspolitik fällt unter die</w:t>
      </w:r>
      <w:r w:rsidR="00066A1A">
        <w:rPr>
          <w:rFonts w:ascii="Times New Roman" w:eastAsia="Times New Roman" w:hAnsi="Times New Roman" w:cs="Times New Roman"/>
          <w:color w:val="242424"/>
          <w:spacing w:val="3"/>
          <w:sz w:val="24"/>
          <w:szCs w:val="24"/>
          <w:bdr w:val="none" w:sz="0" w:space="0" w:color="auto" w:frame="1"/>
          <w:lang w:val="de-DE" w:eastAsia="en-GB"/>
        </w:rPr>
        <w:t xml:space="preserve"> </w:t>
      </w:r>
      <w:r w:rsidRPr="00014056">
        <w:rPr>
          <w:rFonts w:ascii="Times New Roman" w:eastAsia="Times New Roman" w:hAnsi="Times New Roman" w:cs="Times New Roman"/>
          <w:color w:val="242424"/>
          <w:spacing w:val="3"/>
          <w:sz w:val="24"/>
          <w:szCs w:val="24"/>
          <w:lang w:val="de-DE" w:eastAsia="en-GB"/>
        </w:rPr>
        <w:t>ausschließliche Zuständigkeit der Europäischen Union</w:t>
      </w:r>
      <w:r w:rsidR="00066A1A" w:rsidRPr="00014056">
        <w:rPr>
          <w:rFonts w:ascii="Times New Roman" w:eastAsia="Times New Roman" w:hAnsi="Times New Roman" w:cs="Times New Roman"/>
          <w:color w:val="242424"/>
          <w:spacing w:val="3"/>
          <w:sz w:val="24"/>
          <w:szCs w:val="24"/>
          <w:bdr w:val="none" w:sz="0" w:space="0" w:color="auto" w:frame="1"/>
          <w:lang w:val="de-DE" w:eastAsia="en-GB"/>
        </w:rPr>
        <w:t xml:space="preserve"> </w:t>
      </w:r>
      <w:r w:rsidRPr="00014056">
        <w:rPr>
          <w:rFonts w:ascii="Times New Roman" w:eastAsia="Times New Roman" w:hAnsi="Times New Roman" w:cs="Times New Roman"/>
          <w:color w:val="242424"/>
          <w:spacing w:val="3"/>
          <w:sz w:val="24"/>
          <w:szCs w:val="24"/>
          <w:lang w:val="de-DE" w:eastAsia="en-GB"/>
        </w:rPr>
        <w:t>(</w:t>
      </w:r>
      <w:r w:rsidRPr="00724EDF">
        <w:rPr>
          <w:rFonts w:ascii="Times New Roman" w:eastAsia="Times New Roman" w:hAnsi="Times New Roman" w:cs="Times New Roman"/>
          <w:color w:val="242424"/>
          <w:spacing w:val="3"/>
          <w:sz w:val="24"/>
          <w:szCs w:val="24"/>
          <w:lang w:val="de-DE" w:eastAsia="en-GB"/>
        </w:rPr>
        <w:t xml:space="preserve">EU). Ziele der Gemeinsamen Handelspolitik sind seit Inkrafttreten des </w:t>
      </w:r>
      <w:r w:rsidRPr="0011684A">
        <w:rPr>
          <w:rFonts w:ascii="Times New Roman" w:eastAsia="Times New Roman" w:hAnsi="Times New Roman" w:cs="Times New Roman"/>
          <w:color w:val="242424"/>
          <w:spacing w:val="3"/>
          <w:sz w:val="24"/>
          <w:szCs w:val="24"/>
          <w:lang w:val="de-DE" w:eastAsia="en-GB"/>
        </w:rPr>
        <w:t>"Vertrags von Lissabon"</w:t>
      </w:r>
      <w:r w:rsidRPr="00724EDF">
        <w:rPr>
          <w:rFonts w:ascii="Times New Roman" w:eastAsia="Times New Roman" w:hAnsi="Times New Roman" w:cs="Times New Roman"/>
          <w:color w:val="242424"/>
          <w:spacing w:val="3"/>
          <w:sz w:val="24"/>
          <w:szCs w:val="24"/>
          <w:lang w:val="de-DE" w:eastAsia="en-GB"/>
        </w:rPr>
        <w:t xml:space="preserve"> am 1. Dezember 2009 neben </w:t>
      </w:r>
      <w:r w:rsidR="00F501F4">
        <w:rPr>
          <w:rFonts w:ascii="Times New Roman" w:eastAsia="Times New Roman" w:hAnsi="Times New Roman" w:cs="Times New Roman"/>
          <w:color w:val="242424"/>
          <w:spacing w:val="3"/>
          <w:sz w:val="24"/>
          <w:szCs w:val="24"/>
          <w:lang w:val="de-DE" w:eastAsia="en-GB"/>
        </w:rPr>
        <w:t>dem</w:t>
      </w:r>
      <w:r w:rsidR="00F501F4" w:rsidRPr="00724EDF">
        <w:rPr>
          <w:rFonts w:ascii="Times New Roman" w:eastAsia="Times New Roman" w:hAnsi="Times New Roman" w:cs="Times New Roman"/>
          <w:color w:val="242424"/>
          <w:spacing w:val="3"/>
          <w:sz w:val="24"/>
          <w:szCs w:val="24"/>
          <w:lang w:val="de-DE" w:eastAsia="en-GB"/>
        </w:rPr>
        <w:t xml:space="preserve"> Abbau von Zollschranken</w:t>
      </w:r>
      <w:r w:rsidR="00F501F4">
        <w:rPr>
          <w:rFonts w:ascii="Times New Roman" w:eastAsia="Times New Roman" w:hAnsi="Times New Roman" w:cs="Times New Roman"/>
          <w:color w:val="242424"/>
          <w:spacing w:val="3"/>
          <w:sz w:val="24"/>
          <w:szCs w:val="24"/>
          <w:lang w:val="de-DE" w:eastAsia="en-GB"/>
        </w:rPr>
        <w:t xml:space="preserve"> und </w:t>
      </w:r>
      <w:r w:rsidRPr="00724EDF">
        <w:rPr>
          <w:rFonts w:ascii="Times New Roman" w:eastAsia="Times New Roman" w:hAnsi="Times New Roman" w:cs="Times New Roman"/>
          <w:color w:val="242424"/>
          <w:spacing w:val="3"/>
          <w:sz w:val="24"/>
          <w:szCs w:val="24"/>
          <w:lang w:val="de-DE" w:eastAsia="en-GB"/>
        </w:rPr>
        <w:t xml:space="preserve">der Beseitigung von Handelsbeschränkungen </w:t>
      </w:r>
      <w:r>
        <w:rPr>
          <w:rFonts w:ascii="Times New Roman" w:eastAsia="Times New Roman" w:hAnsi="Times New Roman" w:cs="Times New Roman"/>
          <w:color w:val="242424"/>
          <w:spacing w:val="3"/>
          <w:sz w:val="24"/>
          <w:szCs w:val="24"/>
          <w:lang w:val="de-DE" w:eastAsia="en-GB"/>
        </w:rPr>
        <w:t xml:space="preserve">und </w:t>
      </w:r>
      <w:r w:rsidRPr="00724EDF">
        <w:rPr>
          <w:rFonts w:ascii="Times New Roman" w:eastAsia="Times New Roman" w:hAnsi="Times New Roman" w:cs="Times New Roman"/>
          <w:color w:val="242424"/>
          <w:spacing w:val="3"/>
          <w:sz w:val="24"/>
          <w:szCs w:val="24"/>
          <w:lang w:val="de-DE" w:eastAsia="en-GB"/>
        </w:rPr>
        <w:t>auch die Beseitigung der Beschränkungen bei ausländischen Direktinvestitionen und der Abbau von nicht-tarifären Handelshemmnissen.</w:t>
      </w:r>
    </w:p>
    <w:p w14:paraId="1E25C7B5" w14:textId="77777777" w:rsidR="009C5C34" w:rsidRDefault="009C5C34" w:rsidP="00122481">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p>
    <w:p w14:paraId="31BF5BB7" w14:textId="30CF5CBF" w:rsidR="00392A35" w:rsidRDefault="00F501F4" w:rsidP="00122481">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Pr>
          <w:rFonts w:ascii="Times New Roman" w:eastAsia="Times New Roman" w:hAnsi="Times New Roman" w:cs="Times New Roman"/>
          <w:color w:val="242424"/>
          <w:spacing w:val="3"/>
          <w:sz w:val="24"/>
          <w:szCs w:val="24"/>
          <w:lang w:val="de-DE" w:eastAsia="en-GB"/>
        </w:rPr>
        <w:t xml:space="preserve">Die Handelspolitik </w:t>
      </w:r>
      <w:r w:rsidR="0059586E" w:rsidRPr="00724EDF">
        <w:rPr>
          <w:rFonts w:ascii="Times New Roman" w:eastAsia="Times New Roman" w:hAnsi="Times New Roman" w:cs="Times New Roman"/>
          <w:color w:val="242424"/>
          <w:spacing w:val="3"/>
          <w:sz w:val="24"/>
          <w:szCs w:val="24"/>
          <w:lang w:val="de-DE" w:eastAsia="en-GB"/>
        </w:rPr>
        <w:t>umfasst</w:t>
      </w:r>
      <w:r>
        <w:rPr>
          <w:rFonts w:ascii="Times New Roman" w:eastAsia="Times New Roman" w:hAnsi="Times New Roman" w:cs="Times New Roman"/>
          <w:color w:val="242424"/>
          <w:spacing w:val="3"/>
          <w:sz w:val="24"/>
          <w:szCs w:val="24"/>
          <w:lang w:val="de-DE" w:eastAsia="en-GB"/>
        </w:rPr>
        <w:t xml:space="preserve"> den </w:t>
      </w:r>
      <w:r w:rsidR="0059586E" w:rsidRPr="00724EDF">
        <w:rPr>
          <w:rFonts w:ascii="Times New Roman" w:eastAsia="Times New Roman" w:hAnsi="Times New Roman" w:cs="Times New Roman"/>
          <w:color w:val="242424"/>
          <w:spacing w:val="3"/>
          <w:sz w:val="24"/>
          <w:szCs w:val="24"/>
          <w:lang w:val="de-DE" w:eastAsia="en-GB"/>
        </w:rPr>
        <w:t>Handel mit Waren und Dienstleistungen, Handelsaspekte des geistigen Eigentums</w:t>
      </w:r>
      <w:r w:rsidR="00DD1C1F">
        <w:rPr>
          <w:rFonts w:ascii="Times New Roman" w:eastAsia="Times New Roman" w:hAnsi="Times New Roman" w:cs="Times New Roman"/>
          <w:color w:val="242424"/>
          <w:spacing w:val="3"/>
          <w:sz w:val="24"/>
          <w:szCs w:val="24"/>
          <w:lang w:val="de-DE" w:eastAsia="en-GB"/>
        </w:rPr>
        <w:t xml:space="preserve"> </w:t>
      </w:r>
      <w:r w:rsidR="00DD1C1F" w:rsidRPr="0011684A">
        <w:rPr>
          <w:rFonts w:ascii="Times New Roman" w:eastAsia="Times New Roman" w:hAnsi="Times New Roman" w:cs="Times New Roman"/>
          <w:color w:val="242424"/>
          <w:spacing w:val="3"/>
          <w:sz w:val="24"/>
          <w:szCs w:val="24"/>
          <w:lang w:val="de-DE" w:eastAsia="en-GB"/>
        </w:rPr>
        <w:t>und</w:t>
      </w:r>
      <w:r w:rsidR="0059586E" w:rsidRPr="00724EDF">
        <w:rPr>
          <w:rFonts w:ascii="Times New Roman" w:eastAsia="Times New Roman" w:hAnsi="Times New Roman" w:cs="Times New Roman"/>
          <w:color w:val="242424"/>
          <w:spacing w:val="3"/>
          <w:sz w:val="24"/>
          <w:szCs w:val="24"/>
          <w:lang w:val="de-DE" w:eastAsia="en-GB"/>
        </w:rPr>
        <w:t xml:space="preserve"> ausländische Direktinvestitionen. </w:t>
      </w:r>
      <w:r>
        <w:rPr>
          <w:rFonts w:ascii="Times New Roman" w:eastAsia="Times New Roman" w:hAnsi="Times New Roman" w:cs="Times New Roman"/>
          <w:color w:val="242424"/>
          <w:spacing w:val="3"/>
          <w:sz w:val="24"/>
          <w:szCs w:val="24"/>
          <w:lang w:val="de-DE" w:eastAsia="en-GB"/>
        </w:rPr>
        <w:t>S</w:t>
      </w:r>
      <w:r w:rsidR="0059586E" w:rsidRPr="00724EDF">
        <w:rPr>
          <w:rFonts w:ascii="Times New Roman" w:eastAsia="Times New Roman" w:hAnsi="Times New Roman" w:cs="Times New Roman"/>
          <w:color w:val="242424"/>
          <w:spacing w:val="3"/>
          <w:sz w:val="24"/>
          <w:szCs w:val="24"/>
          <w:lang w:val="de-DE" w:eastAsia="en-GB"/>
        </w:rPr>
        <w:t>ie</w:t>
      </w:r>
      <w:r>
        <w:rPr>
          <w:rFonts w:ascii="Times New Roman" w:eastAsia="Times New Roman" w:hAnsi="Times New Roman" w:cs="Times New Roman"/>
          <w:color w:val="242424"/>
          <w:spacing w:val="3"/>
          <w:sz w:val="24"/>
          <w:szCs w:val="24"/>
          <w:lang w:val="de-DE" w:eastAsia="en-GB"/>
        </w:rPr>
        <w:t xml:space="preserve"> </w:t>
      </w:r>
      <w:r w:rsidR="0059586E" w:rsidRPr="00724EDF">
        <w:rPr>
          <w:rFonts w:ascii="Times New Roman" w:eastAsia="Times New Roman" w:hAnsi="Times New Roman" w:cs="Times New Roman"/>
          <w:color w:val="242424"/>
          <w:spacing w:val="3"/>
          <w:sz w:val="24"/>
          <w:szCs w:val="24"/>
          <w:lang w:val="de-DE" w:eastAsia="en-GB"/>
        </w:rPr>
        <w:t>wird nach einheitlichen Grundsätzen gestaltet und ist in Art</w:t>
      </w:r>
      <w:r w:rsidR="00066A1A" w:rsidRPr="00724EDF">
        <w:rPr>
          <w:rFonts w:ascii="Times New Roman" w:eastAsia="Times New Roman" w:hAnsi="Times New Roman" w:cs="Times New Roman"/>
          <w:color w:val="242424"/>
          <w:spacing w:val="3"/>
          <w:sz w:val="24"/>
          <w:szCs w:val="24"/>
          <w:lang w:val="de-DE" w:eastAsia="en-GB"/>
        </w:rPr>
        <w:t> </w:t>
      </w:r>
      <w:r w:rsidR="0059586E" w:rsidRPr="00724EDF">
        <w:rPr>
          <w:rFonts w:ascii="Times New Roman" w:eastAsia="Times New Roman" w:hAnsi="Times New Roman" w:cs="Times New Roman"/>
          <w:color w:val="242424"/>
          <w:spacing w:val="3"/>
          <w:sz w:val="24"/>
          <w:szCs w:val="24"/>
          <w:lang w:val="de-DE" w:eastAsia="en-GB"/>
        </w:rPr>
        <w:t xml:space="preserve">206 </w:t>
      </w:r>
      <w:r w:rsidR="00BE6726">
        <w:rPr>
          <w:rFonts w:ascii="Times New Roman" w:eastAsia="Times New Roman" w:hAnsi="Times New Roman" w:cs="Times New Roman"/>
          <w:color w:val="242424"/>
          <w:spacing w:val="3"/>
          <w:sz w:val="24"/>
          <w:szCs w:val="24"/>
          <w:lang w:val="de-DE" w:eastAsia="en-GB"/>
        </w:rPr>
        <w:t>V</w:t>
      </w:r>
      <w:r w:rsidR="0059586E" w:rsidRPr="00724EDF">
        <w:rPr>
          <w:rFonts w:ascii="Times New Roman" w:eastAsia="Times New Roman" w:hAnsi="Times New Roman" w:cs="Times New Roman"/>
          <w:color w:val="242424"/>
          <w:spacing w:val="3"/>
          <w:sz w:val="24"/>
          <w:szCs w:val="24"/>
          <w:lang w:val="de-DE" w:eastAsia="en-GB"/>
        </w:rPr>
        <w:t>ertrag von Lissabon</w:t>
      </w:r>
      <w:r w:rsidR="00066A1A">
        <w:rPr>
          <w:rFonts w:ascii="Times New Roman" w:eastAsia="Times New Roman" w:hAnsi="Times New Roman" w:cs="Times New Roman"/>
          <w:color w:val="242424"/>
          <w:spacing w:val="3"/>
          <w:sz w:val="24"/>
          <w:szCs w:val="24"/>
          <w:lang w:val="de-DE" w:eastAsia="en-GB"/>
        </w:rPr>
        <w:t xml:space="preserve"> </w:t>
      </w:r>
      <w:r w:rsidR="0059586E" w:rsidRPr="00724EDF">
        <w:rPr>
          <w:rFonts w:ascii="Times New Roman" w:eastAsia="Times New Roman" w:hAnsi="Times New Roman" w:cs="Times New Roman"/>
          <w:color w:val="242424"/>
          <w:spacing w:val="3"/>
          <w:sz w:val="24"/>
          <w:szCs w:val="24"/>
          <w:lang w:val="de-DE" w:eastAsia="en-GB"/>
        </w:rPr>
        <w:t>geregelt</w:t>
      </w:r>
      <w:r w:rsidR="00DD1C1F">
        <w:rPr>
          <w:rFonts w:ascii="Times New Roman" w:eastAsia="Times New Roman" w:hAnsi="Times New Roman" w:cs="Times New Roman"/>
          <w:color w:val="242424"/>
          <w:spacing w:val="3"/>
          <w:sz w:val="24"/>
          <w:szCs w:val="24"/>
          <w:lang w:val="de-DE" w:eastAsia="en-GB"/>
        </w:rPr>
        <w:t>.</w:t>
      </w:r>
      <w:r w:rsidR="0059586E">
        <w:rPr>
          <w:rStyle w:val="FootnoteReference"/>
          <w:rFonts w:ascii="Times New Roman" w:eastAsia="Times New Roman" w:hAnsi="Times New Roman" w:cs="Times New Roman"/>
          <w:color w:val="242424"/>
          <w:spacing w:val="3"/>
          <w:sz w:val="24"/>
          <w:szCs w:val="24"/>
          <w:lang w:val="de-DE" w:eastAsia="en-GB"/>
        </w:rPr>
        <w:footnoteReference w:id="1"/>
      </w:r>
      <w:r w:rsidR="0059586E" w:rsidRPr="00724EDF">
        <w:rPr>
          <w:rFonts w:ascii="Times New Roman" w:eastAsia="Times New Roman" w:hAnsi="Times New Roman" w:cs="Times New Roman"/>
          <w:color w:val="242424"/>
          <w:spacing w:val="3"/>
          <w:sz w:val="24"/>
          <w:szCs w:val="24"/>
          <w:lang w:val="de-DE" w:eastAsia="en-GB"/>
        </w:rPr>
        <w:t xml:space="preserve"> Mit dem Vertrag wurden die Mitwirkungsrechte des Europäischen Parlaments im Bereich der Handelspolitik ausgedehnt, insbesondere hinsichtlich der Mitwirkung an der Erlassung von Verordnungen, mit denen der Rahmen für die Umsetzung der Gemeinsamen Handelspolitik </w:t>
      </w:r>
      <w:r>
        <w:rPr>
          <w:rFonts w:ascii="Times New Roman" w:eastAsia="Times New Roman" w:hAnsi="Times New Roman" w:cs="Times New Roman"/>
          <w:color w:val="242424"/>
          <w:spacing w:val="3"/>
          <w:sz w:val="24"/>
          <w:szCs w:val="24"/>
          <w:lang w:val="de-DE" w:eastAsia="en-GB"/>
        </w:rPr>
        <w:t>festgelegt</w:t>
      </w:r>
      <w:r w:rsidR="0059586E" w:rsidRPr="00724EDF">
        <w:rPr>
          <w:rFonts w:ascii="Times New Roman" w:eastAsia="Times New Roman" w:hAnsi="Times New Roman" w:cs="Times New Roman"/>
          <w:color w:val="242424"/>
          <w:spacing w:val="3"/>
          <w:sz w:val="24"/>
          <w:szCs w:val="24"/>
          <w:lang w:val="de-DE" w:eastAsia="en-GB"/>
        </w:rPr>
        <w:t xml:space="preserve"> wird.</w:t>
      </w:r>
      <w:r w:rsidR="00D260AD">
        <w:rPr>
          <w:rFonts w:ascii="Times New Roman" w:eastAsia="Times New Roman" w:hAnsi="Times New Roman" w:cs="Times New Roman"/>
          <w:color w:val="242424"/>
          <w:spacing w:val="3"/>
          <w:sz w:val="24"/>
          <w:szCs w:val="24"/>
          <w:lang w:val="de-DE" w:eastAsia="en-GB"/>
        </w:rPr>
        <w:t xml:space="preserve"> </w:t>
      </w:r>
      <w:r w:rsidR="0059586E" w:rsidRPr="00E82A3F">
        <w:rPr>
          <w:rFonts w:ascii="Times New Roman" w:eastAsia="Times New Roman" w:hAnsi="Times New Roman" w:cs="Times New Roman"/>
          <w:color w:val="242424"/>
          <w:spacing w:val="3"/>
          <w:sz w:val="24"/>
          <w:szCs w:val="24"/>
          <w:lang w:val="de-DE" w:eastAsia="en-GB"/>
        </w:rPr>
        <w:t xml:space="preserve">Die neue Generation von </w:t>
      </w:r>
      <w:r w:rsidR="00841BA2" w:rsidRPr="00E82A3F">
        <w:rPr>
          <w:rFonts w:ascii="Times New Roman" w:eastAsia="Times New Roman" w:hAnsi="Times New Roman" w:cs="Times New Roman"/>
          <w:color w:val="242424"/>
          <w:spacing w:val="3"/>
          <w:sz w:val="24"/>
          <w:szCs w:val="24"/>
          <w:lang w:val="de-DE" w:eastAsia="en-GB"/>
        </w:rPr>
        <w:t>Handelsabkommen</w:t>
      </w:r>
      <w:r w:rsidR="0059586E" w:rsidRPr="00E82A3F">
        <w:rPr>
          <w:rFonts w:ascii="Times New Roman" w:eastAsia="Times New Roman" w:hAnsi="Times New Roman" w:cs="Times New Roman"/>
          <w:color w:val="242424"/>
          <w:spacing w:val="3"/>
          <w:sz w:val="24"/>
          <w:szCs w:val="24"/>
          <w:lang w:val="de-DE" w:eastAsia="en-GB"/>
        </w:rPr>
        <w:t xml:space="preserve"> ist breit und umfassend angelegt. Die Abkommen betreffen nicht nur tarifäre Fragen (Fragen des Zolls, Exportsubventionen), sondern enthalten auch Regelungen zu Dienstleistungen, zum Abbau nicht-tarifärer Handelsbarrieren und anderen handelsrelevanten Aspekten wie Investitionen und Wettbewerbsfragen. Man spricht deshalb auch von sogenannten "WTO plus-Abkommen", da sie inhaltlich über die WTO-Agenda hinausgehen.</w:t>
      </w:r>
      <w:r w:rsidR="00872B93" w:rsidRPr="00E82A3F">
        <w:rPr>
          <w:rFonts w:ascii="Times New Roman" w:eastAsia="Times New Roman" w:hAnsi="Times New Roman" w:cs="Times New Roman"/>
          <w:color w:val="242424"/>
          <w:spacing w:val="3"/>
          <w:sz w:val="24"/>
          <w:szCs w:val="24"/>
          <w:lang w:val="de-DE" w:eastAsia="en-GB"/>
        </w:rPr>
        <w:t xml:space="preserve"> </w:t>
      </w:r>
      <w:r w:rsidR="004C652D" w:rsidRPr="00E82A3F">
        <w:rPr>
          <w:rStyle w:val="FootnoteReference"/>
          <w:rFonts w:ascii="Times New Roman" w:eastAsia="Times New Roman" w:hAnsi="Times New Roman" w:cs="Times New Roman"/>
          <w:color w:val="242424"/>
          <w:spacing w:val="3"/>
          <w:sz w:val="24"/>
          <w:szCs w:val="24"/>
          <w:lang w:val="de-DE" w:eastAsia="en-GB"/>
        </w:rPr>
        <w:footnoteReference w:id="2"/>
      </w:r>
    </w:p>
    <w:p w14:paraId="0E3A1191" w14:textId="0AE94316" w:rsidR="0059586E" w:rsidRDefault="0059586E" w:rsidP="00122481">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sidRPr="00724EDF">
        <w:rPr>
          <w:rFonts w:ascii="Times New Roman" w:eastAsia="Times New Roman" w:hAnsi="Times New Roman" w:cs="Times New Roman"/>
          <w:color w:val="242424"/>
          <w:spacing w:val="3"/>
          <w:sz w:val="24"/>
          <w:szCs w:val="24"/>
          <w:lang w:val="de-DE" w:eastAsia="en-GB"/>
        </w:rPr>
        <w:t xml:space="preserve">Kritik und offener Widerstand gegen </w:t>
      </w:r>
      <w:r>
        <w:rPr>
          <w:rFonts w:ascii="Times New Roman" w:eastAsia="Times New Roman" w:hAnsi="Times New Roman" w:cs="Times New Roman"/>
          <w:color w:val="242424"/>
          <w:spacing w:val="3"/>
          <w:sz w:val="24"/>
          <w:szCs w:val="24"/>
          <w:lang w:val="de-DE" w:eastAsia="en-GB"/>
        </w:rPr>
        <w:t>EU-Handelsabkommen</w:t>
      </w:r>
      <w:r w:rsidRPr="00724EDF">
        <w:rPr>
          <w:rFonts w:ascii="Times New Roman" w:eastAsia="Times New Roman" w:hAnsi="Times New Roman" w:cs="Times New Roman"/>
          <w:color w:val="242424"/>
          <w:spacing w:val="3"/>
          <w:sz w:val="24"/>
          <w:szCs w:val="24"/>
          <w:lang w:val="de-DE" w:eastAsia="en-GB"/>
        </w:rPr>
        <w:t xml:space="preserve"> formiert</w:t>
      </w:r>
      <w:r>
        <w:rPr>
          <w:rFonts w:ascii="Times New Roman" w:eastAsia="Times New Roman" w:hAnsi="Times New Roman" w:cs="Times New Roman"/>
          <w:color w:val="242424"/>
          <w:spacing w:val="3"/>
          <w:sz w:val="24"/>
          <w:szCs w:val="24"/>
          <w:lang w:val="de-DE" w:eastAsia="en-GB"/>
        </w:rPr>
        <w:t>e</w:t>
      </w:r>
      <w:r w:rsidRPr="00724EDF">
        <w:rPr>
          <w:rFonts w:ascii="Times New Roman" w:eastAsia="Times New Roman" w:hAnsi="Times New Roman" w:cs="Times New Roman"/>
          <w:color w:val="242424"/>
          <w:spacing w:val="3"/>
          <w:sz w:val="24"/>
          <w:szCs w:val="24"/>
          <w:lang w:val="de-DE" w:eastAsia="en-GB"/>
        </w:rPr>
        <w:t xml:space="preserve"> sich auf Seite der Konsumente</w:t>
      </w:r>
      <w:r>
        <w:rPr>
          <w:rFonts w:ascii="Times New Roman" w:eastAsia="Times New Roman" w:hAnsi="Times New Roman" w:cs="Times New Roman"/>
          <w:color w:val="242424"/>
          <w:spacing w:val="3"/>
          <w:sz w:val="24"/>
          <w:szCs w:val="24"/>
          <w:lang w:val="de-DE" w:eastAsia="en-GB"/>
        </w:rPr>
        <w:t>ns</w:t>
      </w:r>
      <w:r w:rsidRPr="00724EDF">
        <w:rPr>
          <w:rFonts w:ascii="Times New Roman" w:eastAsia="Times New Roman" w:hAnsi="Times New Roman" w:cs="Times New Roman"/>
          <w:color w:val="242424"/>
          <w:spacing w:val="3"/>
          <w:sz w:val="24"/>
          <w:szCs w:val="24"/>
          <w:lang w:val="de-DE" w:eastAsia="en-GB"/>
        </w:rPr>
        <w:t xml:space="preserve">chützer </w:t>
      </w:r>
      <w:r>
        <w:rPr>
          <w:rFonts w:ascii="Times New Roman" w:eastAsia="Times New Roman" w:hAnsi="Times New Roman" w:cs="Times New Roman"/>
          <w:color w:val="242424"/>
          <w:spacing w:val="3"/>
          <w:sz w:val="24"/>
          <w:szCs w:val="24"/>
          <w:lang w:val="de-DE" w:eastAsia="en-GB"/>
        </w:rPr>
        <w:t xml:space="preserve">und Arbeitgeberverbände </w:t>
      </w:r>
      <w:r w:rsidRPr="00724EDF">
        <w:rPr>
          <w:rFonts w:ascii="Times New Roman" w:eastAsia="Times New Roman" w:hAnsi="Times New Roman" w:cs="Times New Roman"/>
          <w:color w:val="242424"/>
          <w:spacing w:val="3"/>
          <w:sz w:val="24"/>
          <w:szCs w:val="24"/>
          <w:lang w:val="de-DE" w:eastAsia="en-GB"/>
        </w:rPr>
        <w:t>in Deutschland</w:t>
      </w:r>
      <w:r w:rsidR="00D260AD">
        <w:rPr>
          <w:rFonts w:ascii="Times New Roman" w:eastAsia="Times New Roman" w:hAnsi="Times New Roman" w:cs="Times New Roman"/>
          <w:color w:val="242424"/>
          <w:spacing w:val="3"/>
          <w:sz w:val="24"/>
          <w:szCs w:val="24"/>
          <w:lang w:val="de-DE" w:eastAsia="en-GB"/>
        </w:rPr>
        <w:t>, Belgien, Frankreich</w:t>
      </w:r>
      <w:r w:rsidRPr="00724EDF">
        <w:rPr>
          <w:rFonts w:ascii="Times New Roman" w:eastAsia="Times New Roman" w:hAnsi="Times New Roman" w:cs="Times New Roman"/>
          <w:color w:val="242424"/>
          <w:spacing w:val="3"/>
          <w:sz w:val="24"/>
          <w:szCs w:val="24"/>
          <w:lang w:val="de-DE" w:eastAsia="en-GB"/>
        </w:rPr>
        <w:t xml:space="preserve"> und Österreich</w:t>
      </w:r>
      <w:r>
        <w:rPr>
          <w:rFonts w:ascii="Times New Roman" w:eastAsia="Times New Roman" w:hAnsi="Times New Roman" w:cs="Times New Roman"/>
          <w:color w:val="242424"/>
          <w:spacing w:val="3"/>
          <w:sz w:val="24"/>
          <w:szCs w:val="24"/>
          <w:lang w:val="de-DE" w:eastAsia="en-GB"/>
        </w:rPr>
        <w:t xml:space="preserve">, </w:t>
      </w:r>
      <w:r w:rsidRPr="00724EDF">
        <w:rPr>
          <w:rFonts w:ascii="Times New Roman" w:eastAsia="Times New Roman" w:hAnsi="Times New Roman" w:cs="Times New Roman"/>
          <w:color w:val="242424"/>
          <w:spacing w:val="3"/>
          <w:sz w:val="24"/>
          <w:szCs w:val="24"/>
          <w:lang w:val="de-DE" w:eastAsia="en-GB"/>
        </w:rPr>
        <w:t>als die Abkommen</w:t>
      </w:r>
      <w:r>
        <w:rPr>
          <w:rFonts w:ascii="Times New Roman" w:eastAsia="Times New Roman" w:hAnsi="Times New Roman" w:cs="Times New Roman"/>
          <w:color w:val="242424"/>
          <w:spacing w:val="3"/>
          <w:sz w:val="24"/>
          <w:szCs w:val="24"/>
          <w:lang w:val="de-DE" w:eastAsia="en-GB"/>
        </w:rPr>
        <w:t xml:space="preserve"> der </w:t>
      </w:r>
      <w:r w:rsidRPr="00724EDF">
        <w:rPr>
          <w:rFonts w:ascii="Times New Roman" w:eastAsia="Times New Roman" w:hAnsi="Times New Roman" w:cs="Times New Roman"/>
          <w:color w:val="242424"/>
          <w:spacing w:val="3"/>
          <w:sz w:val="24"/>
          <w:szCs w:val="24"/>
          <w:lang w:val="de-DE" w:eastAsia="en-GB"/>
        </w:rPr>
        <w:t>neue</w:t>
      </w:r>
      <w:r>
        <w:rPr>
          <w:rFonts w:ascii="Times New Roman" w:eastAsia="Times New Roman" w:hAnsi="Times New Roman" w:cs="Times New Roman"/>
          <w:color w:val="242424"/>
          <w:spacing w:val="3"/>
          <w:sz w:val="24"/>
          <w:szCs w:val="24"/>
          <w:lang w:val="de-DE" w:eastAsia="en-GB"/>
        </w:rPr>
        <w:t>n</w:t>
      </w:r>
      <w:r w:rsidRPr="00724EDF">
        <w:rPr>
          <w:rFonts w:ascii="Times New Roman" w:eastAsia="Times New Roman" w:hAnsi="Times New Roman" w:cs="Times New Roman"/>
          <w:color w:val="242424"/>
          <w:spacing w:val="3"/>
          <w:sz w:val="24"/>
          <w:szCs w:val="24"/>
          <w:lang w:val="de-DE" w:eastAsia="en-GB"/>
        </w:rPr>
        <w:t xml:space="preserve"> Generation </w:t>
      </w:r>
      <w:r>
        <w:rPr>
          <w:rFonts w:ascii="Times New Roman" w:eastAsia="Times New Roman" w:hAnsi="Times New Roman" w:cs="Times New Roman"/>
          <w:color w:val="242424"/>
          <w:spacing w:val="3"/>
          <w:sz w:val="24"/>
          <w:szCs w:val="24"/>
          <w:lang w:val="de-DE" w:eastAsia="en-GB"/>
        </w:rPr>
        <w:t>zum Abschluss standen (Singapur, Vietnam, Korea</w:t>
      </w:r>
      <w:r w:rsidR="00BE64CD">
        <w:rPr>
          <w:rFonts w:ascii="Times New Roman" w:eastAsia="Times New Roman" w:hAnsi="Times New Roman" w:cs="Times New Roman"/>
          <w:color w:val="242424"/>
          <w:spacing w:val="3"/>
          <w:sz w:val="24"/>
          <w:szCs w:val="24"/>
          <w:lang w:val="de-DE" w:eastAsia="en-GB"/>
        </w:rPr>
        <w:t xml:space="preserve"> und</w:t>
      </w:r>
      <w:r>
        <w:rPr>
          <w:rFonts w:ascii="Times New Roman" w:eastAsia="Times New Roman" w:hAnsi="Times New Roman" w:cs="Times New Roman"/>
          <w:color w:val="242424"/>
          <w:spacing w:val="3"/>
          <w:sz w:val="24"/>
          <w:szCs w:val="24"/>
          <w:lang w:val="de-DE" w:eastAsia="en-GB"/>
        </w:rPr>
        <w:t xml:space="preserve"> Kanada).</w:t>
      </w:r>
      <w:r>
        <w:rPr>
          <w:rStyle w:val="FootnoteReference"/>
          <w:rFonts w:ascii="Times New Roman" w:eastAsia="Times New Roman" w:hAnsi="Times New Roman" w:cs="Times New Roman"/>
          <w:color w:val="242424"/>
          <w:spacing w:val="3"/>
          <w:sz w:val="24"/>
          <w:szCs w:val="24"/>
          <w:lang w:val="de-DE" w:eastAsia="en-GB"/>
        </w:rPr>
        <w:footnoteReference w:id="3"/>
      </w:r>
      <w:r w:rsidRPr="00724EDF">
        <w:rPr>
          <w:rFonts w:ascii="Times New Roman" w:eastAsia="Times New Roman" w:hAnsi="Times New Roman" w:cs="Times New Roman"/>
          <w:color w:val="242424"/>
          <w:spacing w:val="3"/>
          <w:sz w:val="24"/>
          <w:szCs w:val="24"/>
          <w:lang w:val="de-DE" w:eastAsia="en-GB"/>
        </w:rPr>
        <w:t xml:space="preserve"> </w:t>
      </w:r>
      <w:r w:rsidRPr="00CC200A">
        <w:rPr>
          <w:rFonts w:ascii="Times New Roman" w:eastAsia="Times New Roman" w:hAnsi="Times New Roman" w:cs="Times New Roman"/>
          <w:color w:val="242424"/>
          <w:spacing w:val="3"/>
          <w:sz w:val="24"/>
          <w:szCs w:val="24"/>
          <w:lang w:val="de-DE" w:eastAsia="en-GB"/>
        </w:rPr>
        <w:t xml:space="preserve">Das EU-Vietnam-Freihandelsabkommen zählt </w:t>
      </w:r>
      <w:r>
        <w:rPr>
          <w:rFonts w:ascii="Times New Roman" w:eastAsia="Times New Roman" w:hAnsi="Times New Roman" w:cs="Times New Roman"/>
          <w:color w:val="242424"/>
          <w:spacing w:val="3"/>
          <w:sz w:val="24"/>
          <w:szCs w:val="24"/>
          <w:lang w:val="de-DE" w:eastAsia="en-GB"/>
        </w:rPr>
        <w:t xml:space="preserve">zum Beispiel </w:t>
      </w:r>
      <w:r w:rsidRPr="00CC200A">
        <w:rPr>
          <w:rFonts w:ascii="Times New Roman" w:eastAsia="Times New Roman" w:hAnsi="Times New Roman" w:cs="Times New Roman"/>
          <w:color w:val="242424"/>
          <w:spacing w:val="3"/>
          <w:sz w:val="24"/>
          <w:szCs w:val="24"/>
          <w:lang w:val="de-DE" w:eastAsia="en-GB"/>
        </w:rPr>
        <w:t xml:space="preserve">zu einer neuen Generation von Freihandelsverträgen. Zwar zielt dieses Abkommen vorrangig darauf ab, Handelsbeziehungen durch das Instrument der Absenkung von Zöllen </w:t>
      </w:r>
      <w:r w:rsidRPr="00CC200A">
        <w:rPr>
          <w:rFonts w:ascii="Times New Roman" w:eastAsia="Times New Roman" w:hAnsi="Times New Roman" w:cs="Times New Roman"/>
          <w:color w:val="242424"/>
          <w:spacing w:val="3"/>
          <w:sz w:val="24"/>
          <w:szCs w:val="24"/>
          <w:lang w:val="de-DE" w:eastAsia="en-GB"/>
        </w:rPr>
        <w:lastRenderedPageBreak/>
        <w:t>auf Warenlieferungen zu erleichtern</w:t>
      </w:r>
      <w:r w:rsidR="00CE393F">
        <w:rPr>
          <w:rFonts w:ascii="Times New Roman" w:eastAsia="Times New Roman" w:hAnsi="Times New Roman" w:cs="Times New Roman"/>
          <w:color w:val="242424"/>
          <w:spacing w:val="3"/>
          <w:sz w:val="24"/>
          <w:szCs w:val="24"/>
          <w:lang w:val="de-DE" w:eastAsia="en-GB"/>
        </w:rPr>
        <w:t>, doch werden</w:t>
      </w:r>
      <w:r>
        <w:rPr>
          <w:rFonts w:ascii="Times New Roman" w:eastAsia="Times New Roman" w:hAnsi="Times New Roman" w:cs="Times New Roman"/>
          <w:color w:val="242424"/>
          <w:spacing w:val="3"/>
          <w:sz w:val="24"/>
          <w:szCs w:val="24"/>
          <w:lang w:val="de-DE" w:eastAsia="en-GB"/>
        </w:rPr>
        <w:t xml:space="preserve"> </w:t>
      </w:r>
      <w:r w:rsidR="00CE393F">
        <w:rPr>
          <w:rFonts w:ascii="Times New Roman" w:eastAsia="Times New Roman" w:hAnsi="Times New Roman" w:cs="Times New Roman"/>
          <w:color w:val="242424"/>
          <w:spacing w:val="3"/>
          <w:sz w:val="24"/>
          <w:szCs w:val="24"/>
          <w:lang w:val="de-DE" w:eastAsia="en-GB"/>
        </w:rPr>
        <w:t>d</w:t>
      </w:r>
      <w:r>
        <w:rPr>
          <w:rFonts w:ascii="Times New Roman" w:eastAsia="Times New Roman" w:hAnsi="Times New Roman" w:cs="Times New Roman"/>
          <w:color w:val="242424"/>
          <w:spacing w:val="3"/>
          <w:sz w:val="24"/>
          <w:szCs w:val="24"/>
          <w:lang w:val="de-DE" w:eastAsia="en-GB"/>
        </w:rPr>
        <w:t>arüber hinaus</w:t>
      </w:r>
      <w:r w:rsidR="00CE393F">
        <w:rPr>
          <w:rFonts w:ascii="Times New Roman" w:eastAsia="Times New Roman" w:hAnsi="Times New Roman" w:cs="Times New Roman"/>
          <w:color w:val="242424"/>
          <w:spacing w:val="3"/>
          <w:sz w:val="24"/>
          <w:szCs w:val="24"/>
          <w:lang w:val="de-DE" w:eastAsia="en-GB"/>
        </w:rPr>
        <w:t xml:space="preserve"> </w:t>
      </w:r>
      <w:r>
        <w:rPr>
          <w:rFonts w:ascii="Times New Roman" w:eastAsia="Times New Roman" w:hAnsi="Times New Roman" w:cs="Times New Roman"/>
          <w:color w:val="242424"/>
          <w:spacing w:val="3"/>
          <w:sz w:val="24"/>
          <w:szCs w:val="24"/>
          <w:lang w:val="de-DE" w:eastAsia="en-GB"/>
        </w:rPr>
        <w:t>auch</w:t>
      </w:r>
      <w:r w:rsidR="00F26F41">
        <w:rPr>
          <w:rFonts w:ascii="Times New Roman" w:eastAsia="Times New Roman" w:hAnsi="Times New Roman" w:cs="Times New Roman"/>
          <w:color w:val="242424"/>
          <w:spacing w:val="3"/>
          <w:sz w:val="24"/>
          <w:szCs w:val="24"/>
          <w:lang w:val="de-DE" w:eastAsia="en-GB"/>
        </w:rPr>
        <w:t xml:space="preserve"> Regelungen zu</w:t>
      </w:r>
      <w:r>
        <w:rPr>
          <w:rFonts w:ascii="Times New Roman" w:eastAsia="Times New Roman" w:hAnsi="Times New Roman" w:cs="Times New Roman"/>
          <w:color w:val="242424"/>
          <w:spacing w:val="3"/>
          <w:sz w:val="24"/>
          <w:szCs w:val="24"/>
          <w:lang w:val="de-DE" w:eastAsia="en-GB"/>
        </w:rPr>
        <w:t xml:space="preserve"> Dienstleistungen und Investorenschutz in die Vereinbarung aufgenommen.</w:t>
      </w:r>
      <w:r>
        <w:rPr>
          <w:rStyle w:val="FootnoteReference"/>
          <w:rFonts w:ascii="Times New Roman" w:eastAsia="Times New Roman" w:hAnsi="Times New Roman" w:cs="Times New Roman"/>
          <w:color w:val="242424"/>
          <w:spacing w:val="3"/>
          <w:sz w:val="24"/>
          <w:szCs w:val="24"/>
          <w:lang w:val="de-DE" w:eastAsia="en-GB"/>
        </w:rPr>
        <w:footnoteReference w:id="4"/>
      </w:r>
    </w:p>
    <w:p w14:paraId="4C15C2A8" w14:textId="59ADA005" w:rsidR="008E77D3" w:rsidRDefault="0059586E" w:rsidP="00BA5903">
      <w:pPr>
        <w:shd w:val="clear" w:color="auto" w:fill="FFFFFF"/>
        <w:spacing w:after="100" w:afterAutospacing="1" w:line="240" w:lineRule="auto"/>
        <w:jc w:val="both"/>
        <w:rPr>
          <w:rFonts w:ascii="Times New Roman" w:eastAsia="Times New Roman" w:hAnsi="Times New Roman" w:cs="Times New Roman"/>
          <w:color w:val="242424"/>
          <w:spacing w:val="3"/>
          <w:sz w:val="24"/>
          <w:szCs w:val="24"/>
          <w:lang w:val="de-DE" w:eastAsia="en-GB"/>
        </w:rPr>
      </w:pPr>
      <w:r w:rsidRPr="00E11677">
        <w:rPr>
          <w:rFonts w:ascii="Times New Roman" w:eastAsia="Times New Roman" w:hAnsi="Times New Roman" w:cs="Times New Roman"/>
          <w:color w:val="242424"/>
          <w:spacing w:val="3"/>
          <w:sz w:val="24"/>
          <w:szCs w:val="24"/>
          <w:lang w:val="de-DE" w:eastAsia="en-GB"/>
        </w:rPr>
        <w:t>Hauptsächlich vorgebrachte Kritikpunkte betreffen den Verlust nationaler Souveränität in der Gesetzgebung</w:t>
      </w:r>
      <w:r w:rsidR="00431467">
        <w:rPr>
          <w:rFonts w:ascii="Times New Roman" w:eastAsia="Times New Roman" w:hAnsi="Times New Roman" w:cs="Times New Roman"/>
          <w:color w:val="242424"/>
          <w:spacing w:val="3"/>
          <w:sz w:val="24"/>
          <w:szCs w:val="24"/>
          <w:lang w:val="de-DE" w:eastAsia="en-GB"/>
        </w:rPr>
        <w:t>,</w:t>
      </w:r>
      <w:r w:rsidRPr="00E11677">
        <w:rPr>
          <w:rFonts w:ascii="Times New Roman" w:eastAsia="Times New Roman" w:hAnsi="Times New Roman" w:cs="Times New Roman"/>
          <w:color w:val="242424"/>
          <w:spacing w:val="3"/>
          <w:sz w:val="24"/>
          <w:szCs w:val="24"/>
          <w:lang w:val="de-DE" w:eastAsia="en-GB"/>
        </w:rPr>
        <w:t xml:space="preserve"> insbesondere bei Dienstleistungen, den Schutz von </w:t>
      </w:r>
      <w:r w:rsidRPr="00431467">
        <w:rPr>
          <w:rFonts w:ascii="Times New Roman" w:eastAsia="Times New Roman" w:hAnsi="Times New Roman" w:cs="Times New Roman"/>
          <w:color w:val="242424"/>
          <w:spacing w:val="3"/>
          <w:sz w:val="24"/>
          <w:szCs w:val="24"/>
          <w:lang w:val="de-DE" w:eastAsia="en-GB"/>
        </w:rPr>
        <w:t>Arbeitnehmer</w:t>
      </w:r>
      <w:r w:rsidR="003B7890" w:rsidRPr="00431467">
        <w:rPr>
          <w:rFonts w:ascii="Times New Roman" w:eastAsia="Times New Roman" w:hAnsi="Times New Roman" w:cs="Times New Roman"/>
          <w:color w:val="242424"/>
          <w:spacing w:val="3"/>
          <w:sz w:val="24"/>
          <w:szCs w:val="24"/>
          <w:lang w:val="de-DE" w:eastAsia="en-GB"/>
        </w:rPr>
        <w:t>r</w:t>
      </w:r>
      <w:r w:rsidRPr="00431467">
        <w:rPr>
          <w:rFonts w:ascii="Times New Roman" w:eastAsia="Times New Roman" w:hAnsi="Times New Roman" w:cs="Times New Roman"/>
          <w:color w:val="242424"/>
          <w:spacing w:val="3"/>
          <w:sz w:val="24"/>
          <w:szCs w:val="24"/>
          <w:lang w:val="de-DE" w:eastAsia="en-GB"/>
        </w:rPr>
        <w:t>echten</w:t>
      </w:r>
      <w:r w:rsidRPr="00E11677">
        <w:rPr>
          <w:rFonts w:ascii="Times New Roman" w:eastAsia="Times New Roman" w:hAnsi="Times New Roman" w:cs="Times New Roman"/>
          <w:color w:val="242424"/>
          <w:spacing w:val="3"/>
          <w:sz w:val="24"/>
          <w:szCs w:val="24"/>
          <w:lang w:val="de-DE" w:eastAsia="en-GB"/>
        </w:rPr>
        <w:t xml:space="preserve"> in den Partnerländern der Abkommen und das Absinken von Gesundheitsstandards. </w:t>
      </w:r>
      <w:r w:rsidRPr="00724EDF">
        <w:rPr>
          <w:rFonts w:ascii="Times New Roman" w:eastAsia="Times New Roman" w:hAnsi="Times New Roman" w:cs="Times New Roman"/>
          <w:color w:val="242424"/>
          <w:spacing w:val="3"/>
          <w:sz w:val="24"/>
          <w:szCs w:val="24"/>
          <w:lang w:val="de-DE" w:eastAsia="en-GB"/>
        </w:rPr>
        <w:t xml:space="preserve">Nationale Parlamente forderten Mitspracherecht und mehr Transparenz. </w:t>
      </w:r>
      <w:r>
        <w:rPr>
          <w:rFonts w:ascii="Times New Roman" w:eastAsia="Times New Roman" w:hAnsi="Times New Roman" w:cs="Times New Roman"/>
          <w:color w:val="242424"/>
          <w:spacing w:val="3"/>
          <w:sz w:val="24"/>
          <w:szCs w:val="24"/>
          <w:lang w:val="de-DE" w:eastAsia="en-GB"/>
        </w:rPr>
        <w:t>Gewerkschaften behaupt</w:t>
      </w:r>
      <w:r w:rsidR="003B7890">
        <w:rPr>
          <w:rFonts w:ascii="Times New Roman" w:eastAsia="Times New Roman" w:hAnsi="Times New Roman" w:cs="Times New Roman"/>
          <w:color w:val="242424"/>
          <w:spacing w:val="3"/>
          <w:sz w:val="24"/>
          <w:szCs w:val="24"/>
          <w:lang w:val="de-DE" w:eastAsia="en-GB"/>
        </w:rPr>
        <w:t>e</w:t>
      </w:r>
      <w:r>
        <w:rPr>
          <w:rFonts w:ascii="Times New Roman" w:eastAsia="Times New Roman" w:hAnsi="Times New Roman" w:cs="Times New Roman"/>
          <w:color w:val="242424"/>
          <w:spacing w:val="3"/>
          <w:sz w:val="24"/>
          <w:szCs w:val="24"/>
          <w:lang w:val="de-DE" w:eastAsia="en-GB"/>
        </w:rPr>
        <w:t xml:space="preserve">n </w:t>
      </w:r>
      <w:r w:rsidRPr="00F95E7D">
        <w:rPr>
          <w:rFonts w:ascii="Times New Roman" w:eastAsia="Times New Roman" w:hAnsi="Times New Roman" w:cs="Times New Roman"/>
          <w:color w:val="242424"/>
          <w:spacing w:val="3"/>
          <w:sz w:val="24"/>
          <w:szCs w:val="24"/>
          <w:lang w:val="de-DE" w:eastAsia="en-GB"/>
        </w:rPr>
        <w:t xml:space="preserve">Lohndumping und </w:t>
      </w:r>
      <w:r>
        <w:rPr>
          <w:rFonts w:ascii="Times New Roman" w:eastAsia="Times New Roman" w:hAnsi="Times New Roman" w:cs="Times New Roman"/>
          <w:color w:val="242424"/>
          <w:spacing w:val="3"/>
          <w:sz w:val="24"/>
          <w:szCs w:val="24"/>
          <w:lang w:val="de-DE" w:eastAsia="en-GB"/>
        </w:rPr>
        <w:t>das Fehlen s</w:t>
      </w:r>
      <w:r w:rsidRPr="00F95E7D">
        <w:rPr>
          <w:rFonts w:ascii="Times New Roman" w:eastAsia="Times New Roman" w:hAnsi="Times New Roman" w:cs="Times New Roman"/>
          <w:color w:val="242424"/>
          <w:spacing w:val="3"/>
          <w:sz w:val="24"/>
          <w:szCs w:val="24"/>
          <w:lang w:val="de-DE" w:eastAsia="en-GB"/>
        </w:rPr>
        <w:t>oziale</w:t>
      </w:r>
      <w:r>
        <w:rPr>
          <w:rFonts w:ascii="Times New Roman" w:eastAsia="Times New Roman" w:hAnsi="Times New Roman" w:cs="Times New Roman"/>
          <w:color w:val="242424"/>
          <w:spacing w:val="3"/>
          <w:sz w:val="24"/>
          <w:szCs w:val="24"/>
          <w:lang w:val="de-DE" w:eastAsia="en-GB"/>
        </w:rPr>
        <w:t>r</w:t>
      </w:r>
      <w:r w:rsidRPr="00F95E7D">
        <w:rPr>
          <w:rFonts w:ascii="Times New Roman" w:eastAsia="Times New Roman" w:hAnsi="Times New Roman" w:cs="Times New Roman"/>
          <w:color w:val="242424"/>
          <w:spacing w:val="3"/>
          <w:sz w:val="24"/>
          <w:szCs w:val="24"/>
          <w:lang w:val="de-DE" w:eastAsia="en-GB"/>
        </w:rPr>
        <w:t xml:space="preserve"> Grundrechte in den Handelspartnerländern.</w:t>
      </w:r>
      <w:r w:rsidRPr="00F95E7D">
        <w:rPr>
          <w:lang w:val="de-DE"/>
        </w:rPr>
        <w:t xml:space="preserve"> </w:t>
      </w:r>
      <w:r w:rsidRPr="00F95E7D">
        <w:rPr>
          <w:rFonts w:ascii="Times New Roman" w:eastAsia="Times New Roman" w:hAnsi="Times New Roman" w:cs="Times New Roman"/>
          <w:color w:val="242424"/>
          <w:spacing w:val="3"/>
          <w:sz w:val="24"/>
          <w:szCs w:val="24"/>
          <w:lang w:val="de-DE" w:eastAsia="en-GB"/>
        </w:rPr>
        <w:t>Nachhaltigkeitskriterien w</w:t>
      </w:r>
      <w:r w:rsidR="00AB4C30">
        <w:rPr>
          <w:rFonts w:ascii="Times New Roman" w:eastAsia="Times New Roman" w:hAnsi="Times New Roman" w:cs="Times New Roman"/>
          <w:color w:val="242424"/>
          <w:spacing w:val="3"/>
          <w:sz w:val="24"/>
          <w:szCs w:val="24"/>
          <w:lang w:val="de-DE" w:eastAsia="en-GB"/>
        </w:rPr>
        <w:t>ü</w:t>
      </w:r>
      <w:r w:rsidRPr="00F95E7D">
        <w:rPr>
          <w:rFonts w:ascii="Times New Roman" w:eastAsia="Times New Roman" w:hAnsi="Times New Roman" w:cs="Times New Roman"/>
          <w:color w:val="242424"/>
          <w:spacing w:val="3"/>
          <w:sz w:val="24"/>
          <w:szCs w:val="24"/>
          <w:lang w:val="de-DE" w:eastAsia="en-GB"/>
        </w:rPr>
        <w:t>rden von Ländern wie China</w:t>
      </w:r>
      <w:r w:rsidR="003B7890">
        <w:rPr>
          <w:rFonts w:ascii="Times New Roman" w:eastAsia="Times New Roman" w:hAnsi="Times New Roman" w:cs="Times New Roman"/>
          <w:color w:val="242424"/>
          <w:spacing w:val="3"/>
          <w:sz w:val="24"/>
          <w:szCs w:val="24"/>
          <w:lang w:val="de-DE" w:eastAsia="en-GB"/>
        </w:rPr>
        <w:t>,</w:t>
      </w:r>
      <w:r w:rsidRPr="00F95E7D">
        <w:rPr>
          <w:rFonts w:ascii="Times New Roman" w:eastAsia="Times New Roman" w:hAnsi="Times New Roman" w:cs="Times New Roman"/>
          <w:color w:val="242424"/>
          <w:spacing w:val="3"/>
          <w:sz w:val="24"/>
          <w:szCs w:val="24"/>
          <w:lang w:val="de-DE" w:eastAsia="en-GB"/>
        </w:rPr>
        <w:t xml:space="preserve"> Indien und de</w:t>
      </w:r>
      <w:r w:rsidR="00D260AD">
        <w:rPr>
          <w:rFonts w:ascii="Times New Roman" w:eastAsia="Times New Roman" w:hAnsi="Times New Roman" w:cs="Times New Roman"/>
          <w:color w:val="242424"/>
          <w:spacing w:val="3"/>
          <w:sz w:val="24"/>
          <w:szCs w:val="24"/>
          <w:lang w:val="de-DE" w:eastAsia="en-GB"/>
        </w:rPr>
        <w:t>n</w:t>
      </w:r>
      <w:r w:rsidRPr="00F95E7D">
        <w:rPr>
          <w:rFonts w:ascii="Times New Roman" w:eastAsia="Times New Roman" w:hAnsi="Times New Roman" w:cs="Times New Roman"/>
          <w:color w:val="242424"/>
          <w:spacing w:val="3"/>
          <w:sz w:val="24"/>
          <w:szCs w:val="24"/>
          <w:lang w:val="de-DE" w:eastAsia="en-GB"/>
        </w:rPr>
        <w:t xml:space="preserve"> Philippinen nicht akzeptiert</w:t>
      </w:r>
      <w:r w:rsidR="00AB4C30">
        <w:rPr>
          <w:rFonts w:ascii="Times New Roman" w:eastAsia="Times New Roman" w:hAnsi="Times New Roman" w:cs="Times New Roman"/>
          <w:color w:val="242424"/>
          <w:spacing w:val="3"/>
          <w:sz w:val="24"/>
          <w:szCs w:val="24"/>
          <w:lang w:val="de-DE" w:eastAsia="en-GB"/>
        </w:rPr>
        <w:t xml:space="preserve"> werden.</w:t>
      </w:r>
      <w:r w:rsidR="00613621">
        <w:rPr>
          <w:rFonts w:ascii="Times New Roman" w:eastAsia="Times New Roman" w:hAnsi="Times New Roman" w:cs="Times New Roman"/>
          <w:color w:val="242424"/>
          <w:spacing w:val="3"/>
          <w:sz w:val="24"/>
          <w:szCs w:val="24"/>
          <w:lang w:val="de-DE" w:eastAsia="en-GB"/>
        </w:rPr>
        <w:t xml:space="preserve"> </w:t>
      </w:r>
      <w:r w:rsidR="003B7890" w:rsidRPr="00E82A3F">
        <w:rPr>
          <w:rFonts w:ascii="Times New Roman" w:eastAsia="Times New Roman" w:hAnsi="Times New Roman" w:cs="Times New Roman"/>
          <w:color w:val="242424"/>
          <w:spacing w:val="3"/>
          <w:sz w:val="24"/>
          <w:szCs w:val="24"/>
          <w:lang w:val="de-DE" w:eastAsia="en-GB"/>
        </w:rPr>
        <w:t>Nichtregierungsorganisationen</w:t>
      </w:r>
      <w:r w:rsidR="00A3249D">
        <w:rPr>
          <w:rFonts w:ascii="Times New Roman" w:eastAsia="Times New Roman" w:hAnsi="Times New Roman" w:cs="Times New Roman"/>
          <w:color w:val="242424"/>
          <w:spacing w:val="3"/>
          <w:sz w:val="24"/>
          <w:szCs w:val="24"/>
          <w:lang w:val="de-DE" w:eastAsia="en-GB"/>
        </w:rPr>
        <w:t xml:space="preserve"> </w:t>
      </w:r>
      <w:r>
        <w:rPr>
          <w:rFonts w:ascii="Times New Roman" w:eastAsia="Times New Roman" w:hAnsi="Times New Roman" w:cs="Times New Roman"/>
          <w:color w:val="242424"/>
          <w:spacing w:val="3"/>
          <w:sz w:val="24"/>
          <w:szCs w:val="24"/>
          <w:lang w:val="de-DE" w:eastAsia="en-GB"/>
        </w:rPr>
        <w:t>bringen die Klimaziele vor, die in vielen Handelspartner</w:t>
      </w:r>
      <w:r w:rsidR="00431467">
        <w:rPr>
          <w:rFonts w:ascii="Times New Roman" w:eastAsia="Times New Roman" w:hAnsi="Times New Roman" w:cs="Times New Roman"/>
          <w:color w:val="242424"/>
          <w:spacing w:val="3"/>
          <w:sz w:val="24"/>
          <w:szCs w:val="24"/>
          <w:lang w:val="de-DE" w:eastAsia="en-GB"/>
        </w:rPr>
        <w:t>ländern</w:t>
      </w:r>
      <w:r>
        <w:rPr>
          <w:rFonts w:ascii="Times New Roman" w:eastAsia="Times New Roman" w:hAnsi="Times New Roman" w:cs="Times New Roman"/>
          <w:color w:val="242424"/>
          <w:spacing w:val="3"/>
          <w:sz w:val="24"/>
          <w:szCs w:val="24"/>
          <w:lang w:val="de-DE" w:eastAsia="en-GB"/>
        </w:rPr>
        <w:t xml:space="preserve"> der EU keinen Vorrang haben und durch neue Abkommen noch weiter in die Ferne rücken würden. </w:t>
      </w:r>
      <w:r w:rsidRPr="00AE2116">
        <w:rPr>
          <w:rFonts w:ascii="Times New Roman" w:eastAsia="Times New Roman" w:hAnsi="Times New Roman" w:cs="Times New Roman"/>
          <w:color w:val="242424"/>
          <w:spacing w:val="3"/>
          <w:sz w:val="24"/>
          <w:szCs w:val="24"/>
          <w:lang w:val="de-DE" w:eastAsia="en-GB"/>
        </w:rPr>
        <w:t xml:space="preserve">Bei importierten Lebensmitteln bestünde ein Gesundheitsrisiko, so die Begründung für eine Ablehnung. </w:t>
      </w:r>
      <w:r w:rsidR="00AB4C30">
        <w:rPr>
          <w:rFonts w:ascii="Times New Roman" w:eastAsia="Times New Roman" w:hAnsi="Times New Roman" w:cs="Times New Roman"/>
          <w:color w:val="242424"/>
          <w:spacing w:val="3"/>
          <w:sz w:val="24"/>
          <w:szCs w:val="24"/>
          <w:lang w:val="de-DE" w:eastAsia="en-GB"/>
        </w:rPr>
        <w:t xml:space="preserve">Um der Kritik zu entgegnen, </w:t>
      </w:r>
      <w:r w:rsidRPr="005979DD">
        <w:rPr>
          <w:rFonts w:ascii="Times New Roman" w:eastAsia="Times New Roman" w:hAnsi="Times New Roman" w:cs="Times New Roman"/>
          <w:color w:val="242424"/>
          <w:spacing w:val="3"/>
          <w:sz w:val="24"/>
          <w:szCs w:val="24"/>
          <w:lang w:val="de-DE" w:eastAsia="en-GB"/>
        </w:rPr>
        <w:t xml:space="preserve">erließ </w:t>
      </w:r>
      <w:r>
        <w:rPr>
          <w:rFonts w:ascii="Times New Roman" w:eastAsia="Times New Roman" w:hAnsi="Times New Roman" w:cs="Times New Roman"/>
          <w:color w:val="242424"/>
          <w:spacing w:val="3"/>
          <w:sz w:val="24"/>
          <w:szCs w:val="24"/>
          <w:lang w:val="de-DE" w:eastAsia="en-GB"/>
        </w:rPr>
        <w:t>d</w:t>
      </w:r>
      <w:r w:rsidRPr="005979DD">
        <w:rPr>
          <w:rFonts w:ascii="Times New Roman" w:eastAsia="Times New Roman" w:hAnsi="Times New Roman" w:cs="Times New Roman"/>
          <w:color w:val="242424"/>
          <w:spacing w:val="3"/>
          <w:sz w:val="24"/>
          <w:szCs w:val="24"/>
          <w:lang w:val="de-DE" w:eastAsia="en-GB"/>
        </w:rPr>
        <w:t>ie E</w:t>
      </w:r>
      <w:r w:rsidR="00AB4C30">
        <w:rPr>
          <w:rFonts w:ascii="Times New Roman" w:eastAsia="Times New Roman" w:hAnsi="Times New Roman" w:cs="Times New Roman"/>
          <w:color w:val="242424"/>
          <w:spacing w:val="3"/>
          <w:sz w:val="24"/>
          <w:szCs w:val="24"/>
          <w:lang w:val="de-DE" w:eastAsia="en-GB"/>
        </w:rPr>
        <w:t xml:space="preserve">uropäische Kommission </w:t>
      </w:r>
      <w:r w:rsidRPr="005979DD">
        <w:rPr>
          <w:rFonts w:ascii="Times New Roman" w:eastAsia="Times New Roman" w:hAnsi="Times New Roman" w:cs="Times New Roman"/>
          <w:color w:val="242424"/>
          <w:spacing w:val="3"/>
          <w:sz w:val="24"/>
          <w:szCs w:val="24"/>
          <w:lang w:val="de-DE" w:eastAsia="en-GB"/>
        </w:rPr>
        <w:t>2015 ein Transparenzpaket und veröffentlichte Verhandlungspositionen</w:t>
      </w:r>
      <w:r>
        <w:rPr>
          <w:rStyle w:val="FootnoteReference"/>
          <w:rFonts w:ascii="Times New Roman" w:eastAsia="Times New Roman" w:hAnsi="Times New Roman" w:cs="Times New Roman"/>
          <w:color w:val="242424"/>
          <w:spacing w:val="3"/>
          <w:sz w:val="24"/>
          <w:szCs w:val="24"/>
          <w:lang w:val="de-DE" w:eastAsia="en-GB"/>
        </w:rPr>
        <w:footnoteReference w:id="5"/>
      </w:r>
      <w:r w:rsidR="00613621">
        <w:rPr>
          <w:rFonts w:ascii="Times New Roman" w:eastAsia="Times New Roman" w:hAnsi="Times New Roman" w:cs="Times New Roman"/>
          <w:color w:val="242424"/>
          <w:spacing w:val="3"/>
          <w:sz w:val="24"/>
          <w:szCs w:val="24"/>
          <w:lang w:val="de-DE" w:eastAsia="en-GB"/>
        </w:rPr>
        <w:t xml:space="preserve"> </w:t>
      </w:r>
      <w:r w:rsidR="008E77D3">
        <w:rPr>
          <w:rFonts w:ascii="Times New Roman" w:eastAsia="Times New Roman" w:hAnsi="Times New Roman" w:cs="Times New Roman"/>
          <w:color w:val="242424"/>
          <w:spacing w:val="3"/>
          <w:sz w:val="24"/>
          <w:szCs w:val="24"/>
          <w:lang w:val="de-DE" w:eastAsia="en-GB"/>
        </w:rPr>
        <w:t xml:space="preserve">und begann, ambitionierte Nachhaltigkeitskapitel in die Verhandlungen zu Handelsabkommen aufzunehmen. </w:t>
      </w:r>
      <w:r w:rsidR="0070020B">
        <w:rPr>
          <w:rStyle w:val="FootnoteReference"/>
          <w:rFonts w:ascii="Times New Roman" w:eastAsia="Times New Roman" w:hAnsi="Times New Roman" w:cs="Times New Roman"/>
          <w:color w:val="242424"/>
          <w:spacing w:val="3"/>
          <w:sz w:val="24"/>
          <w:szCs w:val="24"/>
          <w:lang w:val="de-DE" w:eastAsia="en-GB"/>
        </w:rPr>
        <w:footnoteReference w:id="6"/>
      </w:r>
    </w:p>
    <w:p w14:paraId="6D48183D" w14:textId="0EDDDD4D" w:rsidR="0059586E" w:rsidRDefault="0059586E" w:rsidP="00122481">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Pr>
          <w:rFonts w:ascii="Times New Roman" w:eastAsia="Times New Roman" w:hAnsi="Times New Roman" w:cs="Times New Roman"/>
          <w:color w:val="242424"/>
          <w:spacing w:val="3"/>
          <w:sz w:val="24"/>
          <w:szCs w:val="24"/>
          <w:lang w:val="de-DE" w:eastAsia="en-GB"/>
        </w:rPr>
        <w:t>Die Frage der Zuständigkeit zum Abschluss von Handelsabkommen wurde zu einem Streitthema zwischen Mitgliedstaaten und der Kommission. 2016 kam es zu einer Klärung durch den Europäischen Gerichtshof. D</w:t>
      </w:r>
      <w:r w:rsidRPr="00AE2116">
        <w:rPr>
          <w:rFonts w:ascii="Times New Roman" w:eastAsia="Times New Roman" w:hAnsi="Times New Roman" w:cs="Times New Roman"/>
          <w:color w:val="242424"/>
          <w:spacing w:val="3"/>
          <w:sz w:val="24"/>
          <w:szCs w:val="24"/>
          <w:lang w:val="de-DE" w:eastAsia="en-GB"/>
        </w:rPr>
        <w:t xml:space="preserve">ie Kommission </w:t>
      </w:r>
      <w:r>
        <w:rPr>
          <w:rFonts w:ascii="Times New Roman" w:eastAsia="Times New Roman" w:hAnsi="Times New Roman" w:cs="Times New Roman"/>
          <w:color w:val="242424"/>
          <w:spacing w:val="3"/>
          <w:sz w:val="24"/>
          <w:szCs w:val="24"/>
          <w:lang w:val="de-DE" w:eastAsia="en-GB"/>
        </w:rPr>
        <w:t xml:space="preserve">hatte </w:t>
      </w:r>
      <w:r w:rsidRPr="00AE2116">
        <w:rPr>
          <w:rFonts w:ascii="Times New Roman" w:eastAsia="Times New Roman" w:hAnsi="Times New Roman" w:cs="Times New Roman"/>
          <w:color w:val="242424"/>
          <w:spacing w:val="3"/>
          <w:sz w:val="24"/>
          <w:szCs w:val="24"/>
          <w:lang w:val="de-DE" w:eastAsia="en-GB"/>
        </w:rPr>
        <w:t xml:space="preserve">den Gerichtshof um ein Gutachten ersucht, um zu klären, ob die Union über eine ausschließliche Zuständigkeit für die alleinige Unterzeichnung und den alleinigen Abschluss des geplanten Abkommens </w:t>
      </w:r>
      <w:r w:rsidR="00D260AD">
        <w:rPr>
          <w:rFonts w:ascii="Times New Roman" w:eastAsia="Times New Roman" w:hAnsi="Times New Roman" w:cs="Times New Roman"/>
          <w:color w:val="242424"/>
          <w:spacing w:val="3"/>
          <w:sz w:val="24"/>
          <w:szCs w:val="24"/>
          <w:lang w:val="de-DE" w:eastAsia="en-GB"/>
        </w:rPr>
        <w:t xml:space="preserve">mit Singapur </w:t>
      </w:r>
      <w:r w:rsidRPr="00AE2116">
        <w:rPr>
          <w:rFonts w:ascii="Times New Roman" w:eastAsia="Times New Roman" w:hAnsi="Times New Roman" w:cs="Times New Roman"/>
          <w:color w:val="242424"/>
          <w:spacing w:val="3"/>
          <w:sz w:val="24"/>
          <w:szCs w:val="24"/>
          <w:lang w:val="de-DE" w:eastAsia="en-GB"/>
        </w:rPr>
        <w:t>verfüg</w:t>
      </w:r>
      <w:r w:rsidR="00D260AD">
        <w:rPr>
          <w:rFonts w:ascii="Times New Roman" w:eastAsia="Times New Roman" w:hAnsi="Times New Roman" w:cs="Times New Roman"/>
          <w:color w:val="242424"/>
          <w:spacing w:val="3"/>
          <w:sz w:val="24"/>
          <w:szCs w:val="24"/>
          <w:lang w:val="de-DE" w:eastAsia="en-GB"/>
        </w:rPr>
        <w:t>e</w:t>
      </w:r>
      <w:r w:rsidRPr="00AE2116">
        <w:rPr>
          <w:rFonts w:ascii="Times New Roman" w:eastAsia="Times New Roman" w:hAnsi="Times New Roman" w:cs="Times New Roman"/>
          <w:color w:val="242424"/>
          <w:spacing w:val="3"/>
          <w:sz w:val="24"/>
          <w:szCs w:val="24"/>
          <w:lang w:val="de-DE" w:eastAsia="en-GB"/>
        </w:rPr>
        <w:t xml:space="preserve">. Nach Ansicht der Kommission und des Parlaments </w:t>
      </w:r>
      <w:r>
        <w:rPr>
          <w:rFonts w:ascii="Times New Roman" w:eastAsia="Times New Roman" w:hAnsi="Times New Roman" w:cs="Times New Roman"/>
          <w:color w:val="242424"/>
          <w:spacing w:val="3"/>
          <w:sz w:val="24"/>
          <w:szCs w:val="24"/>
          <w:lang w:val="de-DE" w:eastAsia="en-GB"/>
        </w:rPr>
        <w:t>war</w:t>
      </w:r>
      <w:r w:rsidRPr="00AE2116">
        <w:rPr>
          <w:rFonts w:ascii="Times New Roman" w:eastAsia="Times New Roman" w:hAnsi="Times New Roman" w:cs="Times New Roman"/>
          <w:color w:val="242424"/>
          <w:spacing w:val="3"/>
          <w:sz w:val="24"/>
          <w:szCs w:val="24"/>
          <w:lang w:val="de-DE" w:eastAsia="en-GB"/>
        </w:rPr>
        <w:t xml:space="preserve"> das der Fall.</w:t>
      </w:r>
    </w:p>
    <w:p w14:paraId="01D6BEEB" w14:textId="2405F8EB" w:rsidR="0059586E" w:rsidRPr="00F96623" w:rsidRDefault="0059586E" w:rsidP="009746FB">
      <w:pPr>
        <w:pStyle w:val="Heading1"/>
        <w:rPr>
          <w:rFonts w:ascii="Times New Roman" w:eastAsia="Times New Roman" w:hAnsi="Times New Roman" w:cs="Times New Roman"/>
          <w:b/>
          <w:bCs/>
          <w:color w:val="000000" w:themeColor="text1"/>
          <w:sz w:val="24"/>
          <w:szCs w:val="24"/>
          <w:lang w:val="de-DE"/>
        </w:rPr>
      </w:pPr>
      <w:bookmarkStart w:id="1" w:name="_Toc161050721"/>
      <w:r w:rsidRPr="00F96623">
        <w:rPr>
          <w:rFonts w:ascii="Times New Roman" w:eastAsia="Times New Roman" w:hAnsi="Times New Roman" w:cs="Times New Roman"/>
          <w:b/>
          <w:bCs/>
          <w:color w:val="000000" w:themeColor="text1"/>
          <w:sz w:val="24"/>
          <w:szCs w:val="24"/>
          <w:lang w:val="de-DE"/>
        </w:rPr>
        <w:t>II</w:t>
      </w:r>
      <w:r w:rsidRPr="00F96623">
        <w:rPr>
          <w:rFonts w:ascii="Times New Roman" w:eastAsia="Times New Roman" w:hAnsi="Times New Roman" w:cs="Times New Roman"/>
          <w:b/>
          <w:bCs/>
          <w:color w:val="000000" w:themeColor="text1"/>
          <w:sz w:val="24"/>
          <w:szCs w:val="24"/>
          <w:lang w:val="de-DE"/>
        </w:rPr>
        <w:tab/>
        <w:t>Rechtsgutachten EUG</w:t>
      </w:r>
      <w:r w:rsidR="00BE6726" w:rsidRPr="00F96623">
        <w:rPr>
          <w:rFonts w:ascii="Times New Roman" w:eastAsia="Times New Roman" w:hAnsi="Times New Roman" w:cs="Times New Roman"/>
          <w:b/>
          <w:bCs/>
          <w:color w:val="000000" w:themeColor="text1"/>
          <w:sz w:val="24"/>
          <w:szCs w:val="24"/>
          <w:lang w:val="de-DE"/>
        </w:rPr>
        <w:t>H</w:t>
      </w:r>
      <w:r w:rsidRPr="00F96623">
        <w:rPr>
          <w:rFonts w:ascii="Times New Roman" w:eastAsia="Times New Roman" w:hAnsi="Times New Roman" w:cs="Times New Roman"/>
          <w:b/>
          <w:bCs/>
          <w:color w:val="000000" w:themeColor="text1"/>
          <w:sz w:val="24"/>
          <w:szCs w:val="24"/>
          <w:lang w:val="de-DE"/>
        </w:rPr>
        <w:t xml:space="preserve"> Singapur und seine Konsequenzen</w:t>
      </w:r>
      <w:bookmarkEnd w:id="1"/>
      <w:r w:rsidRPr="00F96623">
        <w:rPr>
          <w:rFonts w:ascii="Times New Roman" w:eastAsia="Times New Roman" w:hAnsi="Times New Roman" w:cs="Times New Roman"/>
          <w:b/>
          <w:bCs/>
          <w:color w:val="000000" w:themeColor="text1"/>
          <w:sz w:val="24"/>
          <w:szCs w:val="24"/>
          <w:lang w:val="de-DE"/>
        </w:rPr>
        <w:t xml:space="preserve"> </w:t>
      </w:r>
    </w:p>
    <w:p w14:paraId="36DFF8B2" w14:textId="77777777" w:rsidR="00014056" w:rsidRDefault="00014056" w:rsidP="00014056">
      <w:pPr>
        <w:shd w:val="clear" w:color="auto" w:fill="FFFFFF"/>
        <w:spacing w:after="0" w:line="360" w:lineRule="auto"/>
        <w:jc w:val="both"/>
        <w:rPr>
          <w:rFonts w:ascii="Times New Roman" w:eastAsia="Times New Roman" w:hAnsi="Times New Roman" w:cs="Times New Roman"/>
          <w:color w:val="242424"/>
          <w:spacing w:val="3"/>
          <w:sz w:val="24"/>
          <w:szCs w:val="24"/>
          <w:lang w:val="de-DE" w:eastAsia="en-GB"/>
        </w:rPr>
      </w:pPr>
    </w:p>
    <w:p w14:paraId="58886B9B" w14:textId="2821E1CB" w:rsidR="0059586E" w:rsidRDefault="0059586E" w:rsidP="00122481">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sidRPr="002D7E8D">
        <w:rPr>
          <w:rFonts w:ascii="Times New Roman" w:eastAsia="Times New Roman" w:hAnsi="Times New Roman" w:cs="Times New Roman"/>
          <w:color w:val="242424"/>
          <w:spacing w:val="3"/>
          <w:sz w:val="24"/>
          <w:szCs w:val="24"/>
          <w:lang w:val="de-DE" w:eastAsia="en-GB"/>
        </w:rPr>
        <w:t>Wegweisend für die Frage der Kompetenzzuteilung ist das Gutachten</w:t>
      </w:r>
      <w:r>
        <w:rPr>
          <w:rFonts w:ascii="Times New Roman" w:eastAsia="Times New Roman" w:hAnsi="Times New Roman" w:cs="Times New Roman"/>
          <w:color w:val="242424"/>
          <w:spacing w:val="3"/>
          <w:sz w:val="24"/>
          <w:szCs w:val="24"/>
          <w:lang w:val="de-DE" w:eastAsia="en-GB"/>
        </w:rPr>
        <w:t xml:space="preserve"> des Europäischen Gerichtshofes zu </w:t>
      </w:r>
      <w:r w:rsidR="00D260AD">
        <w:rPr>
          <w:rFonts w:ascii="Times New Roman" w:eastAsia="Times New Roman" w:hAnsi="Times New Roman" w:cs="Times New Roman"/>
          <w:color w:val="242424"/>
          <w:spacing w:val="3"/>
          <w:sz w:val="24"/>
          <w:szCs w:val="24"/>
          <w:lang w:val="de-DE" w:eastAsia="en-GB"/>
        </w:rPr>
        <w:t>Singapur</w:t>
      </w:r>
      <w:r w:rsidR="00613621">
        <w:rPr>
          <w:rFonts w:ascii="Times New Roman" w:eastAsia="Times New Roman" w:hAnsi="Times New Roman" w:cs="Times New Roman"/>
          <w:color w:val="242424"/>
          <w:spacing w:val="3"/>
          <w:sz w:val="24"/>
          <w:szCs w:val="24"/>
          <w:lang w:val="de-DE" w:eastAsia="en-GB"/>
        </w:rPr>
        <w:t>.</w:t>
      </w:r>
      <w:r>
        <w:rPr>
          <w:rStyle w:val="FootnoteReference"/>
          <w:rFonts w:ascii="Times New Roman" w:eastAsia="Times New Roman" w:hAnsi="Times New Roman" w:cs="Times New Roman"/>
          <w:color w:val="242424"/>
          <w:spacing w:val="3"/>
          <w:sz w:val="24"/>
          <w:szCs w:val="24"/>
          <w:lang w:val="de-DE" w:eastAsia="en-GB"/>
        </w:rPr>
        <w:footnoteReference w:id="7"/>
      </w:r>
      <w:r w:rsidR="00613621">
        <w:rPr>
          <w:rFonts w:ascii="Times New Roman" w:eastAsia="Times New Roman" w:hAnsi="Times New Roman" w:cs="Times New Roman"/>
          <w:color w:val="242424"/>
          <w:spacing w:val="3"/>
          <w:sz w:val="24"/>
          <w:szCs w:val="24"/>
          <w:lang w:val="de-DE" w:eastAsia="en-GB"/>
        </w:rPr>
        <w:t xml:space="preserve"> </w:t>
      </w:r>
      <w:r w:rsidRPr="00724EDF">
        <w:rPr>
          <w:rFonts w:ascii="Times New Roman" w:eastAsia="Times New Roman" w:hAnsi="Times New Roman" w:cs="Times New Roman"/>
          <w:color w:val="242424"/>
          <w:spacing w:val="3"/>
          <w:sz w:val="24"/>
          <w:szCs w:val="24"/>
          <w:lang w:val="de-DE" w:eastAsia="en-GB"/>
        </w:rPr>
        <w:t xml:space="preserve">Am 20. September 2013 paraphierten die Europäische Union und Singapur den Text eines Freihandelsabkommens. Es handelt sich um eines der ersten bilateralen Freihandelsabkommen der sogenannten „neuen Generation“, nämlich um ein Handelsabkommen, das zusätzlich zu den traditionellen Bestimmungen über den Abbau von Zöllen und nichttarifären Hemmnissen Bestimmungen in verschiedenen Bereichen enthält, die mit dem Handel im Zusammenhang stehen, wie </w:t>
      </w:r>
      <w:proofErr w:type="spellStart"/>
      <w:r w:rsidRPr="00724EDF">
        <w:rPr>
          <w:rFonts w:ascii="Times New Roman" w:eastAsia="Times New Roman" w:hAnsi="Times New Roman" w:cs="Times New Roman"/>
          <w:color w:val="242424"/>
          <w:spacing w:val="3"/>
          <w:sz w:val="24"/>
          <w:szCs w:val="24"/>
          <w:lang w:val="de-DE" w:eastAsia="en-GB"/>
        </w:rPr>
        <w:t>zB</w:t>
      </w:r>
      <w:proofErr w:type="spellEnd"/>
      <w:r w:rsidRPr="00724EDF">
        <w:rPr>
          <w:rFonts w:ascii="Times New Roman" w:eastAsia="Times New Roman" w:hAnsi="Times New Roman" w:cs="Times New Roman"/>
          <w:color w:val="242424"/>
          <w:spacing w:val="3"/>
          <w:sz w:val="24"/>
          <w:szCs w:val="24"/>
          <w:lang w:val="de-DE" w:eastAsia="en-GB"/>
        </w:rPr>
        <w:t xml:space="preserve"> im Bereich des Schutzes des geistigen Eigentums, der Investitionen, der öffentlichen Beschaffung, des Wettbewerbs und der nachhaltigen Entwicklung. </w:t>
      </w:r>
    </w:p>
    <w:p w14:paraId="6606380A" w14:textId="1E8EE1A9" w:rsidR="0059586E" w:rsidRPr="00724EDF" w:rsidRDefault="00A85A57" w:rsidP="00122481">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Pr>
          <w:rFonts w:ascii="Times New Roman" w:eastAsia="Times New Roman" w:hAnsi="Times New Roman" w:cs="Times New Roman"/>
          <w:color w:val="242424"/>
          <w:spacing w:val="3"/>
          <w:sz w:val="24"/>
          <w:szCs w:val="24"/>
          <w:lang w:val="de-DE" w:eastAsia="en-GB"/>
        </w:rPr>
        <w:t>Die</w:t>
      </w:r>
      <w:r w:rsidR="0059586E" w:rsidRPr="00724EDF">
        <w:rPr>
          <w:rFonts w:ascii="Times New Roman" w:eastAsia="Times New Roman" w:hAnsi="Times New Roman" w:cs="Times New Roman"/>
          <w:color w:val="242424"/>
          <w:spacing w:val="3"/>
          <w:sz w:val="24"/>
          <w:szCs w:val="24"/>
          <w:lang w:val="de-DE" w:eastAsia="en-GB"/>
        </w:rPr>
        <w:t xml:space="preserve"> Regierungen </w:t>
      </w:r>
      <w:r w:rsidR="00AB4C30">
        <w:rPr>
          <w:rFonts w:ascii="Times New Roman" w:eastAsia="Times New Roman" w:hAnsi="Times New Roman" w:cs="Times New Roman"/>
          <w:color w:val="242424"/>
          <w:spacing w:val="3"/>
          <w:sz w:val="24"/>
          <w:szCs w:val="24"/>
          <w:lang w:val="de-DE" w:eastAsia="en-GB"/>
        </w:rPr>
        <w:t>vie</w:t>
      </w:r>
      <w:r w:rsidR="0059586E" w:rsidRPr="00724EDF">
        <w:rPr>
          <w:rFonts w:ascii="Times New Roman" w:eastAsia="Times New Roman" w:hAnsi="Times New Roman" w:cs="Times New Roman"/>
          <w:color w:val="242424"/>
          <w:spacing w:val="3"/>
          <w:sz w:val="24"/>
          <w:szCs w:val="24"/>
          <w:lang w:val="de-DE" w:eastAsia="en-GB"/>
        </w:rPr>
        <w:t xml:space="preserve">ler Mitgliedstaaten </w:t>
      </w:r>
      <w:r>
        <w:rPr>
          <w:rFonts w:ascii="Times New Roman" w:eastAsia="Times New Roman" w:hAnsi="Times New Roman" w:cs="Times New Roman"/>
          <w:color w:val="242424"/>
          <w:spacing w:val="3"/>
          <w:sz w:val="24"/>
          <w:szCs w:val="24"/>
          <w:lang w:val="de-DE" w:eastAsia="en-GB"/>
        </w:rPr>
        <w:t>und d</w:t>
      </w:r>
      <w:r w:rsidRPr="00724EDF">
        <w:rPr>
          <w:rFonts w:ascii="Times New Roman" w:eastAsia="Times New Roman" w:hAnsi="Times New Roman" w:cs="Times New Roman"/>
          <w:color w:val="242424"/>
          <w:spacing w:val="3"/>
          <w:sz w:val="24"/>
          <w:szCs w:val="24"/>
          <w:lang w:val="de-DE" w:eastAsia="en-GB"/>
        </w:rPr>
        <w:t xml:space="preserve">er Rat </w:t>
      </w:r>
      <w:r w:rsidR="00AB4C30">
        <w:rPr>
          <w:rFonts w:ascii="Times New Roman" w:eastAsia="Times New Roman" w:hAnsi="Times New Roman" w:cs="Times New Roman"/>
          <w:color w:val="242424"/>
          <w:spacing w:val="3"/>
          <w:sz w:val="24"/>
          <w:szCs w:val="24"/>
          <w:lang w:val="de-DE" w:eastAsia="en-GB"/>
        </w:rPr>
        <w:t xml:space="preserve">waren </w:t>
      </w:r>
      <w:r w:rsidR="0059586E" w:rsidRPr="00724EDF">
        <w:rPr>
          <w:rFonts w:ascii="Times New Roman" w:eastAsia="Times New Roman" w:hAnsi="Times New Roman" w:cs="Times New Roman"/>
          <w:color w:val="242424"/>
          <w:spacing w:val="3"/>
          <w:sz w:val="24"/>
          <w:szCs w:val="24"/>
          <w:lang w:val="de-DE" w:eastAsia="en-GB"/>
        </w:rPr>
        <w:t xml:space="preserve">der Auffassung, dass die Union das Abkommen nicht allein schließen könne, da einige Teile des Abkommens in die zwischen der Union und den Mitgliedstaaten geteilte Zuständigkeit oder sogar in die </w:t>
      </w:r>
      <w:r w:rsidR="0059586E" w:rsidRPr="00724EDF">
        <w:rPr>
          <w:rFonts w:ascii="Times New Roman" w:eastAsia="Times New Roman" w:hAnsi="Times New Roman" w:cs="Times New Roman"/>
          <w:color w:val="242424"/>
          <w:spacing w:val="3"/>
          <w:sz w:val="24"/>
          <w:szCs w:val="24"/>
          <w:lang w:val="de-DE" w:eastAsia="en-GB"/>
        </w:rPr>
        <w:lastRenderedPageBreak/>
        <w:t xml:space="preserve">ausschließliche Zuständigkeit der Mitgliedstaaten fielen. </w:t>
      </w:r>
      <w:r w:rsidR="00AB4C30">
        <w:rPr>
          <w:rFonts w:ascii="Times New Roman" w:eastAsia="Times New Roman" w:hAnsi="Times New Roman" w:cs="Times New Roman"/>
          <w:color w:val="242424"/>
          <w:spacing w:val="3"/>
          <w:sz w:val="24"/>
          <w:szCs w:val="24"/>
          <w:lang w:val="de-DE" w:eastAsia="en-GB"/>
        </w:rPr>
        <w:t xml:space="preserve">Daher wandte sich die Kommission an den EuGH mit dem Ersuchen </w:t>
      </w:r>
      <w:r w:rsidR="0059144F">
        <w:rPr>
          <w:rFonts w:ascii="Times New Roman" w:eastAsia="Times New Roman" w:hAnsi="Times New Roman" w:cs="Times New Roman"/>
          <w:color w:val="242424"/>
          <w:spacing w:val="3"/>
          <w:sz w:val="24"/>
          <w:szCs w:val="24"/>
          <w:lang w:val="de-DE" w:eastAsia="en-GB"/>
        </w:rPr>
        <w:t>um ein Rechtsgutachten</w:t>
      </w:r>
      <w:r w:rsidR="00AB4C30">
        <w:rPr>
          <w:rFonts w:ascii="Times New Roman" w:eastAsia="Times New Roman" w:hAnsi="Times New Roman" w:cs="Times New Roman"/>
          <w:color w:val="242424"/>
          <w:spacing w:val="3"/>
          <w:sz w:val="24"/>
          <w:szCs w:val="24"/>
          <w:lang w:val="de-DE" w:eastAsia="en-GB"/>
        </w:rPr>
        <w:t>.</w:t>
      </w:r>
      <w:r w:rsidR="00BE6726">
        <w:rPr>
          <w:rFonts w:ascii="Times New Roman" w:eastAsia="Times New Roman" w:hAnsi="Times New Roman" w:cs="Times New Roman"/>
          <w:color w:val="242424"/>
          <w:spacing w:val="3"/>
          <w:sz w:val="24"/>
          <w:szCs w:val="24"/>
          <w:lang w:val="de-DE" w:eastAsia="en-GB"/>
        </w:rPr>
        <w:t xml:space="preserve"> </w:t>
      </w:r>
      <w:r w:rsidR="0059586E" w:rsidRPr="00724EDF">
        <w:rPr>
          <w:rFonts w:ascii="Times New Roman" w:eastAsia="Times New Roman" w:hAnsi="Times New Roman" w:cs="Times New Roman"/>
          <w:color w:val="242424"/>
          <w:spacing w:val="3"/>
          <w:sz w:val="24"/>
          <w:szCs w:val="24"/>
          <w:lang w:val="de-DE" w:eastAsia="en-GB"/>
        </w:rPr>
        <w:t>In seinem Gutachten stellt</w:t>
      </w:r>
      <w:r w:rsidR="00AB4C30">
        <w:rPr>
          <w:rFonts w:ascii="Times New Roman" w:eastAsia="Times New Roman" w:hAnsi="Times New Roman" w:cs="Times New Roman"/>
          <w:color w:val="242424"/>
          <w:spacing w:val="3"/>
          <w:sz w:val="24"/>
          <w:szCs w:val="24"/>
          <w:lang w:val="de-DE" w:eastAsia="en-GB"/>
        </w:rPr>
        <w:t>e</w:t>
      </w:r>
      <w:r w:rsidR="0059586E" w:rsidRPr="00724EDF">
        <w:rPr>
          <w:rFonts w:ascii="Times New Roman" w:eastAsia="Times New Roman" w:hAnsi="Times New Roman" w:cs="Times New Roman"/>
          <w:color w:val="242424"/>
          <w:spacing w:val="3"/>
          <w:sz w:val="24"/>
          <w:szCs w:val="24"/>
          <w:lang w:val="de-DE" w:eastAsia="en-GB"/>
        </w:rPr>
        <w:t xml:space="preserve"> der Gerichtshof zunächst klar, dass sich das Gutachten nur auf die Frage bezieht, ob die Union über eine ausschließliche Zuständigkeit verfügt, und nicht auf die Vereinbarkeit des Inhalts des Abkommens mit dem Unionsrecht. Sodann stellt</w:t>
      </w:r>
      <w:r w:rsidR="00AB4C30">
        <w:rPr>
          <w:rFonts w:ascii="Times New Roman" w:eastAsia="Times New Roman" w:hAnsi="Times New Roman" w:cs="Times New Roman"/>
          <w:color w:val="242424"/>
          <w:spacing w:val="3"/>
          <w:sz w:val="24"/>
          <w:szCs w:val="24"/>
          <w:lang w:val="de-DE" w:eastAsia="en-GB"/>
        </w:rPr>
        <w:t>e</w:t>
      </w:r>
      <w:r w:rsidR="0059586E" w:rsidRPr="00724EDF">
        <w:rPr>
          <w:rFonts w:ascii="Times New Roman" w:eastAsia="Times New Roman" w:hAnsi="Times New Roman" w:cs="Times New Roman"/>
          <w:color w:val="242424"/>
          <w:spacing w:val="3"/>
          <w:sz w:val="24"/>
          <w:szCs w:val="24"/>
          <w:lang w:val="de-DE" w:eastAsia="en-GB"/>
        </w:rPr>
        <w:t xml:space="preserve"> er fest, dass das </w:t>
      </w:r>
      <w:r w:rsidR="00BE6726">
        <w:rPr>
          <w:rFonts w:ascii="Times New Roman" w:eastAsia="Times New Roman" w:hAnsi="Times New Roman" w:cs="Times New Roman"/>
          <w:color w:val="242424"/>
          <w:spacing w:val="3"/>
          <w:sz w:val="24"/>
          <w:szCs w:val="24"/>
          <w:lang w:val="de-DE" w:eastAsia="en-GB"/>
        </w:rPr>
        <w:t>H</w:t>
      </w:r>
      <w:r w:rsidR="0059586E" w:rsidRPr="00724EDF">
        <w:rPr>
          <w:rFonts w:ascii="Times New Roman" w:eastAsia="Times New Roman" w:hAnsi="Times New Roman" w:cs="Times New Roman"/>
          <w:color w:val="242424"/>
          <w:spacing w:val="3"/>
          <w:sz w:val="24"/>
          <w:szCs w:val="24"/>
          <w:lang w:val="de-DE" w:eastAsia="en-GB"/>
        </w:rPr>
        <w:t>andelsabkommen mit Singapur in seiner derzeitigen Form nicht von der Union allein geschlossen werden k</w:t>
      </w:r>
      <w:r w:rsidR="00AB4C30">
        <w:rPr>
          <w:rFonts w:ascii="Times New Roman" w:eastAsia="Times New Roman" w:hAnsi="Times New Roman" w:cs="Times New Roman"/>
          <w:color w:val="242424"/>
          <w:spacing w:val="3"/>
          <w:sz w:val="24"/>
          <w:szCs w:val="24"/>
          <w:lang w:val="de-DE" w:eastAsia="en-GB"/>
        </w:rPr>
        <w:t>ö</w:t>
      </w:r>
      <w:r w:rsidR="0059586E" w:rsidRPr="00724EDF">
        <w:rPr>
          <w:rFonts w:ascii="Times New Roman" w:eastAsia="Times New Roman" w:hAnsi="Times New Roman" w:cs="Times New Roman"/>
          <w:color w:val="242424"/>
          <w:spacing w:val="3"/>
          <w:sz w:val="24"/>
          <w:szCs w:val="24"/>
          <w:lang w:val="de-DE" w:eastAsia="en-GB"/>
        </w:rPr>
        <w:t>nn</w:t>
      </w:r>
      <w:r w:rsidR="00AB4C30">
        <w:rPr>
          <w:rFonts w:ascii="Times New Roman" w:eastAsia="Times New Roman" w:hAnsi="Times New Roman" w:cs="Times New Roman"/>
          <w:color w:val="242424"/>
          <w:spacing w:val="3"/>
          <w:sz w:val="24"/>
          <w:szCs w:val="24"/>
          <w:lang w:val="de-DE" w:eastAsia="en-GB"/>
        </w:rPr>
        <w:t>e</w:t>
      </w:r>
      <w:r w:rsidR="0059586E" w:rsidRPr="00724EDF">
        <w:rPr>
          <w:rFonts w:ascii="Times New Roman" w:eastAsia="Times New Roman" w:hAnsi="Times New Roman" w:cs="Times New Roman"/>
          <w:color w:val="242424"/>
          <w:spacing w:val="3"/>
          <w:sz w:val="24"/>
          <w:szCs w:val="24"/>
          <w:lang w:val="de-DE" w:eastAsia="en-GB"/>
        </w:rPr>
        <w:t xml:space="preserve">, da einige der geplanten </w:t>
      </w:r>
      <w:r w:rsidR="0059144F" w:rsidRPr="00724EDF">
        <w:rPr>
          <w:rFonts w:ascii="Times New Roman" w:eastAsia="Times New Roman" w:hAnsi="Times New Roman" w:cs="Times New Roman"/>
          <w:color w:val="242424"/>
          <w:spacing w:val="3"/>
          <w:sz w:val="24"/>
          <w:szCs w:val="24"/>
          <w:lang w:val="de-DE" w:eastAsia="en-GB"/>
        </w:rPr>
        <w:t>Bestimmungen,</w:t>
      </w:r>
      <w:r w:rsidR="0059586E" w:rsidRPr="00724EDF">
        <w:rPr>
          <w:rFonts w:ascii="Times New Roman" w:eastAsia="Times New Roman" w:hAnsi="Times New Roman" w:cs="Times New Roman"/>
          <w:color w:val="242424"/>
          <w:spacing w:val="3"/>
          <w:sz w:val="24"/>
          <w:szCs w:val="24"/>
          <w:lang w:val="de-DE" w:eastAsia="en-GB"/>
        </w:rPr>
        <w:t xml:space="preserve"> in die zwischen der Union und den Mitgliedstaaten geteilte Zuständigkeit f</w:t>
      </w:r>
      <w:r w:rsidR="00AB4C30">
        <w:rPr>
          <w:rFonts w:ascii="Times New Roman" w:eastAsia="Times New Roman" w:hAnsi="Times New Roman" w:cs="Times New Roman"/>
          <w:color w:val="242424"/>
          <w:spacing w:val="3"/>
          <w:sz w:val="24"/>
          <w:szCs w:val="24"/>
          <w:lang w:val="de-DE" w:eastAsia="en-GB"/>
        </w:rPr>
        <w:t>ie</w:t>
      </w:r>
      <w:r w:rsidR="0059586E" w:rsidRPr="00724EDF">
        <w:rPr>
          <w:rFonts w:ascii="Times New Roman" w:eastAsia="Times New Roman" w:hAnsi="Times New Roman" w:cs="Times New Roman"/>
          <w:color w:val="242424"/>
          <w:spacing w:val="3"/>
          <w:sz w:val="24"/>
          <w:szCs w:val="24"/>
          <w:lang w:val="de-DE" w:eastAsia="en-GB"/>
        </w:rPr>
        <w:t>len. Daher k</w:t>
      </w:r>
      <w:r w:rsidR="00BE6726">
        <w:rPr>
          <w:rFonts w:ascii="Times New Roman" w:eastAsia="Times New Roman" w:hAnsi="Times New Roman" w:cs="Times New Roman"/>
          <w:color w:val="242424"/>
          <w:spacing w:val="3"/>
          <w:sz w:val="24"/>
          <w:szCs w:val="24"/>
          <w:lang w:val="de-DE" w:eastAsia="en-GB"/>
        </w:rPr>
        <w:t>ö</w:t>
      </w:r>
      <w:r w:rsidR="0059586E" w:rsidRPr="00724EDF">
        <w:rPr>
          <w:rFonts w:ascii="Times New Roman" w:eastAsia="Times New Roman" w:hAnsi="Times New Roman" w:cs="Times New Roman"/>
          <w:color w:val="242424"/>
          <w:spacing w:val="3"/>
          <w:sz w:val="24"/>
          <w:szCs w:val="24"/>
          <w:lang w:val="de-DE" w:eastAsia="en-GB"/>
        </w:rPr>
        <w:t>n</w:t>
      </w:r>
      <w:r w:rsidR="00BE6726">
        <w:rPr>
          <w:rFonts w:ascii="Times New Roman" w:eastAsia="Times New Roman" w:hAnsi="Times New Roman" w:cs="Times New Roman"/>
          <w:color w:val="242424"/>
          <w:spacing w:val="3"/>
          <w:sz w:val="24"/>
          <w:szCs w:val="24"/>
          <w:lang w:val="de-DE" w:eastAsia="en-GB"/>
        </w:rPr>
        <w:t>ne</w:t>
      </w:r>
      <w:r w:rsidR="0059586E" w:rsidRPr="00724EDF">
        <w:rPr>
          <w:rFonts w:ascii="Times New Roman" w:eastAsia="Times New Roman" w:hAnsi="Times New Roman" w:cs="Times New Roman"/>
          <w:color w:val="242424"/>
          <w:spacing w:val="3"/>
          <w:sz w:val="24"/>
          <w:szCs w:val="24"/>
          <w:lang w:val="de-DE" w:eastAsia="en-GB"/>
        </w:rPr>
        <w:t xml:space="preserve"> das </w:t>
      </w:r>
      <w:r w:rsidR="00BE6726">
        <w:rPr>
          <w:rFonts w:ascii="Times New Roman" w:eastAsia="Times New Roman" w:hAnsi="Times New Roman" w:cs="Times New Roman"/>
          <w:color w:val="242424"/>
          <w:spacing w:val="3"/>
          <w:sz w:val="24"/>
          <w:szCs w:val="24"/>
          <w:lang w:val="de-DE" w:eastAsia="en-GB"/>
        </w:rPr>
        <w:t>A</w:t>
      </w:r>
      <w:r w:rsidR="0059586E" w:rsidRPr="00724EDF">
        <w:rPr>
          <w:rFonts w:ascii="Times New Roman" w:eastAsia="Times New Roman" w:hAnsi="Times New Roman" w:cs="Times New Roman"/>
          <w:color w:val="242424"/>
          <w:spacing w:val="3"/>
          <w:sz w:val="24"/>
          <w:szCs w:val="24"/>
          <w:lang w:val="de-DE" w:eastAsia="en-GB"/>
        </w:rPr>
        <w:t>bkommen mit Singapur in unveränderter Form nur von der Union und den Mitgliedstaaten gemeinsam geschlossen werden. Im Einzelnen erklärt</w:t>
      </w:r>
      <w:r w:rsidR="00AB4C30">
        <w:rPr>
          <w:rFonts w:ascii="Times New Roman" w:eastAsia="Times New Roman" w:hAnsi="Times New Roman" w:cs="Times New Roman"/>
          <w:color w:val="242424"/>
          <w:spacing w:val="3"/>
          <w:sz w:val="24"/>
          <w:szCs w:val="24"/>
          <w:lang w:val="de-DE" w:eastAsia="en-GB"/>
        </w:rPr>
        <w:t>e</w:t>
      </w:r>
      <w:r w:rsidR="0059586E" w:rsidRPr="00724EDF">
        <w:rPr>
          <w:rFonts w:ascii="Times New Roman" w:eastAsia="Times New Roman" w:hAnsi="Times New Roman" w:cs="Times New Roman"/>
          <w:color w:val="242424"/>
          <w:spacing w:val="3"/>
          <w:sz w:val="24"/>
          <w:szCs w:val="24"/>
          <w:lang w:val="de-DE" w:eastAsia="en-GB"/>
        </w:rPr>
        <w:t xml:space="preserve"> der Gerichtshof, dass die Union über eine ausschließliche Zuständigkeit für die Teile des Abkommens verfügt, in denen es um folgende Bereiche geht: den Zugang zum Markt der Union und zum singapurischen Markt für Waren und Dienstleistungen (einschließlich aller Verkehrsdienstleistungen), im Bereich der öffentlichen Beschaffung und im Sektor der Energieerzeugung aus nachhaltigen nichtfossilen Quelle</w:t>
      </w:r>
      <w:r w:rsidR="00D260AD">
        <w:rPr>
          <w:rFonts w:ascii="Times New Roman" w:eastAsia="Times New Roman" w:hAnsi="Times New Roman" w:cs="Times New Roman"/>
          <w:color w:val="242424"/>
          <w:spacing w:val="3"/>
          <w:sz w:val="24"/>
          <w:szCs w:val="24"/>
          <w:lang w:val="de-DE" w:eastAsia="en-GB"/>
        </w:rPr>
        <w:t>n.</w:t>
      </w:r>
      <w:r w:rsidR="0059586E" w:rsidRPr="00724EDF">
        <w:rPr>
          <w:rFonts w:ascii="Times New Roman" w:eastAsia="Times New Roman" w:hAnsi="Times New Roman" w:cs="Times New Roman"/>
          <w:color w:val="242424"/>
          <w:spacing w:val="3"/>
          <w:sz w:val="24"/>
          <w:szCs w:val="24"/>
          <w:lang w:val="de-DE" w:eastAsia="en-GB"/>
        </w:rPr>
        <w:t xml:space="preserve">                                            </w:t>
      </w:r>
    </w:p>
    <w:p w14:paraId="17A0D4B1" w14:textId="111CD995" w:rsidR="0059586E" w:rsidRDefault="0059586E" w:rsidP="00122481">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sidRPr="00724EDF">
        <w:rPr>
          <w:rFonts w:ascii="Times New Roman" w:eastAsia="Times New Roman" w:hAnsi="Times New Roman" w:cs="Times New Roman"/>
          <w:color w:val="242424"/>
          <w:spacing w:val="3"/>
          <w:sz w:val="24"/>
          <w:szCs w:val="24"/>
          <w:lang w:val="de-DE" w:eastAsia="en-GB"/>
        </w:rPr>
        <w:t>Sowohl für den Seeverkehr als auch für den Eisenbahnverkehr und den Straßenverkehr stellt der Gerichtshof fest, dass die im geplanten Abkommen enthaltenen Verpflichtungen in diesem Bereich die Regeln der Union beeinträchtigen oder deren Tragweite verändern könnten, so dass die Union gemäß Art 3 Ab</w:t>
      </w:r>
      <w:r w:rsidR="002760ED">
        <w:rPr>
          <w:rFonts w:ascii="Times New Roman" w:eastAsia="Times New Roman" w:hAnsi="Times New Roman" w:cs="Times New Roman"/>
          <w:color w:val="242424"/>
          <w:spacing w:val="3"/>
          <w:sz w:val="24"/>
          <w:szCs w:val="24"/>
          <w:lang w:val="de-DE" w:eastAsia="en-GB"/>
        </w:rPr>
        <w:t>s</w:t>
      </w:r>
      <w:r w:rsidRPr="00724EDF">
        <w:rPr>
          <w:rFonts w:ascii="Times New Roman" w:eastAsia="Times New Roman" w:hAnsi="Times New Roman" w:cs="Times New Roman"/>
          <w:color w:val="242424"/>
          <w:spacing w:val="3"/>
          <w:sz w:val="24"/>
          <w:szCs w:val="24"/>
          <w:lang w:val="de-DE" w:eastAsia="en-GB"/>
        </w:rPr>
        <w:t xml:space="preserve"> 2 AEUV für die Genehmigung solcher Verpflichtungen ausschließlich zuständig ist. </w:t>
      </w:r>
    </w:p>
    <w:p w14:paraId="5250EB69" w14:textId="55CD0D9D" w:rsidR="00E82A3F" w:rsidRDefault="0059586E" w:rsidP="00122481">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Pr>
          <w:rFonts w:ascii="Times New Roman" w:eastAsia="Times New Roman" w:hAnsi="Times New Roman" w:cs="Times New Roman"/>
          <w:color w:val="242424"/>
          <w:spacing w:val="3"/>
          <w:sz w:val="24"/>
          <w:szCs w:val="24"/>
          <w:lang w:val="de-DE" w:eastAsia="en-GB"/>
        </w:rPr>
        <w:t>Geteilte Zuständigkeit in den Kompetenzen besteht hingegen für folgende Bereiche:</w:t>
      </w:r>
      <w:r w:rsidR="00AB4C30">
        <w:rPr>
          <w:rFonts w:ascii="Times New Roman" w:eastAsia="Times New Roman" w:hAnsi="Times New Roman" w:cs="Times New Roman"/>
          <w:color w:val="242424"/>
          <w:spacing w:val="3"/>
          <w:sz w:val="24"/>
          <w:szCs w:val="24"/>
          <w:lang w:val="de-DE" w:eastAsia="en-GB"/>
        </w:rPr>
        <w:t xml:space="preserve"> </w:t>
      </w:r>
      <w:r w:rsidRPr="00724EDF">
        <w:rPr>
          <w:rFonts w:ascii="Times New Roman" w:eastAsia="Times New Roman" w:hAnsi="Times New Roman" w:cs="Times New Roman"/>
          <w:color w:val="242424"/>
          <w:spacing w:val="3"/>
          <w:sz w:val="24"/>
          <w:szCs w:val="24"/>
          <w:lang w:val="de-DE" w:eastAsia="en-GB"/>
        </w:rPr>
        <w:t>die Bestimmungen im Bereich des Schutzes ausländischer Direktinvestitionen singapurischer Staatsangehöriger in der Union (und umgekehrt);  die Bestimmungen im Bereich der Rechte des geistigen Eigentums;  die Bestimmungen über die Bekämpfung wettbewerbswidriger Verhaltensweisen und die Regelung von Zusammenschlüssen, Monopolen und Subventionen</w:t>
      </w:r>
      <w:r w:rsidR="00E82A3F">
        <w:rPr>
          <w:rFonts w:ascii="Times New Roman" w:eastAsia="Times New Roman" w:hAnsi="Times New Roman" w:cs="Times New Roman"/>
          <w:color w:val="242424"/>
          <w:spacing w:val="3"/>
          <w:sz w:val="24"/>
          <w:szCs w:val="24"/>
          <w:lang w:val="de-DE" w:eastAsia="en-GB"/>
        </w:rPr>
        <w:t xml:space="preserve">. In Bezug auf </w:t>
      </w:r>
      <w:r w:rsidRPr="00724EDF">
        <w:rPr>
          <w:rFonts w:ascii="Times New Roman" w:eastAsia="Times New Roman" w:hAnsi="Times New Roman" w:cs="Times New Roman"/>
          <w:color w:val="242424"/>
          <w:spacing w:val="3"/>
          <w:sz w:val="24"/>
          <w:szCs w:val="24"/>
          <w:lang w:val="de-DE" w:eastAsia="en-GB"/>
        </w:rPr>
        <w:t xml:space="preserve">die Bestimmungen </w:t>
      </w:r>
      <w:r w:rsidR="001F33BE">
        <w:rPr>
          <w:rFonts w:ascii="Times New Roman" w:eastAsia="Times New Roman" w:hAnsi="Times New Roman" w:cs="Times New Roman"/>
          <w:color w:val="242424"/>
          <w:spacing w:val="3"/>
          <w:sz w:val="24"/>
          <w:szCs w:val="24"/>
          <w:lang w:val="de-DE" w:eastAsia="en-GB"/>
        </w:rPr>
        <w:t xml:space="preserve">zur </w:t>
      </w:r>
      <w:r w:rsidRPr="00724EDF">
        <w:rPr>
          <w:rFonts w:ascii="Times New Roman" w:eastAsia="Times New Roman" w:hAnsi="Times New Roman" w:cs="Times New Roman"/>
          <w:color w:val="242424"/>
          <w:spacing w:val="3"/>
          <w:sz w:val="24"/>
          <w:szCs w:val="24"/>
          <w:lang w:val="de-DE" w:eastAsia="en-GB"/>
        </w:rPr>
        <w:t xml:space="preserve">stellt </w:t>
      </w:r>
      <w:r w:rsidR="00E82A3F" w:rsidRPr="00724EDF">
        <w:rPr>
          <w:rFonts w:ascii="Times New Roman" w:eastAsia="Times New Roman" w:hAnsi="Times New Roman" w:cs="Times New Roman"/>
          <w:color w:val="242424"/>
          <w:spacing w:val="3"/>
          <w:sz w:val="24"/>
          <w:szCs w:val="24"/>
          <w:lang w:val="de-DE" w:eastAsia="en-GB"/>
        </w:rPr>
        <w:t xml:space="preserve">der Gerichtshof </w:t>
      </w:r>
      <w:r w:rsidRPr="00724EDF">
        <w:rPr>
          <w:rFonts w:ascii="Times New Roman" w:eastAsia="Times New Roman" w:hAnsi="Times New Roman" w:cs="Times New Roman"/>
          <w:color w:val="242424"/>
          <w:spacing w:val="3"/>
          <w:sz w:val="24"/>
          <w:szCs w:val="24"/>
          <w:lang w:val="de-DE" w:eastAsia="en-GB"/>
        </w:rPr>
        <w:t>fest, dass das Ziel der nachhaltigen Entwicklung nunmehr fester Bestandteil der gemeinsamen Handelspolitik der Union ist und das geplante Abkommen die Liberalisierung der Handelsbeziehungen zwischen der Union und Singapur davon abhängig machen soll, dass die Vertragsparteien ihre völkerrechtlichen Verpflichtungen in den Bereichen sozialer Schutz von Arbeitnehmern und Umweltschutz erfüllen</w:t>
      </w:r>
      <w:r w:rsidR="00E82A3F">
        <w:rPr>
          <w:rFonts w:ascii="Times New Roman" w:eastAsia="Times New Roman" w:hAnsi="Times New Roman" w:cs="Times New Roman"/>
          <w:color w:val="242424"/>
          <w:spacing w:val="3"/>
          <w:sz w:val="24"/>
          <w:szCs w:val="24"/>
          <w:lang w:val="de-DE" w:eastAsia="en-GB"/>
        </w:rPr>
        <w:t>.</w:t>
      </w:r>
    </w:p>
    <w:p w14:paraId="57CD7A43" w14:textId="3041F31F" w:rsidR="0059586E" w:rsidRDefault="00E82A3F" w:rsidP="00122481">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Pr>
          <w:rFonts w:ascii="Times New Roman" w:eastAsia="Times New Roman" w:hAnsi="Times New Roman" w:cs="Times New Roman"/>
          <w:color w:val="242424"/>
          <w:spacing w:val="3"/>
          <w:sz w:val="24"/>
          <w:szCs w:val="24"/>
          <w:lang w:val="de-DE" w:eastAsia="en-GB"/>
        </w:rPr>
        <w:t xml:space="preserve">Die Europäische Union ist laut Gerichtshof außerdem </w:t>
      </w:r>
      <w:r w:rsidRPr="00724EDF">
        <w:rPr>
          <w:rFonts w:ascii="Times New Roman" w:eastAsia="Times New Roman" w:hAnsi="Times New Roman" w:cs="Times New Roman"/>
          <w:color w:val="242424"/>
          <w:spacing w:val="3"/>
          <w:sz w:val="24"/>
          <w:szCs w:val="24"/>
          <w:lang w:val="de-DE" w:eastAsia="en-GB"/>
        </w:rPr>
        <w:t>nicht ausschließlich zuständig</w:t>
      </w:r>
      <w:r>
        <w:rPr>
          <w:rFonts w:ascii="Times New Roman" w:eastAsia="Times New Roman" w:hAnsi="Times New Roman" w:cs="Times New Roman"/>
          <w:color w:val="242424"/>
          <w:spacing w:val="3"/>
          <w:sz w:val="24"/>
          <w:szCs w:val="24"/>
          <w:lang w:val="de-DE" w:eastAsia="en-GB"/>
        </w:rPr>
        <w:t xml:space="preserve"> für d</w:t>
      </w:r>
      <w:r w:rsidR="0059586E" w:rsidRPr="00724EDF">
        <w:rPr>
          <w:rFonts w:ascii="Times New Roman" w:eastAsia="Times New Roman" w:hAnsi="Times New Roman" w:cs="Times New Roman"/>
          <w:color w:val="242424"/>
          <w:spacing w:val="3"/>
          <w:sz w:val="24"/>
          <w:szCs w:val="24"/>
          <w:lang w:val="de-DE" w:eastAsia="en-GB"/>
        </w:rPr>
        <w:t>ie Regeln für den Informationsaustausch und die Pflichten zur Notifikation, Überprüfung, Zusammenarbeit, Mediation, Transparenz und Beilegung von Streitigkeiten zwischen den Vertragsparteien, außer wenn sich diese Regeln auf andere ausländische Investitionen als Direktinvestitionen beziehen</w:t>
      </w:r>
      <w:r w:rsidR="00D260AD">
        <w:rPr>
          <w:rFonts w:ascii="Times New Roman" w:eastAsia="Times New Roman" w:hAnsi="Times New Roman" w:cs="Times New Roman"/>
          <w:color w:val="242424"/>
          <w:spacing w:val="3"/>
          <w:sz w:val="24"/>
          <w:szCs w:val="24"/>
          <w:lang w:val="de-DE" w:eastAsia="en-GB"/>
        </w:rPr>
        <w:t xml:space="preserve">. </w:t>
      </w:r>
      <w:r w:rsidR="0059586E" w:rsidRPr="00724EDF">
        <w:rPr>
          <w:rFonts w:ascii="Times New Roman" w:eastAsia="Times New Roman" w:hAnsi="Times New Roman" w:cs="Times New Roman"/>
          <w:color w:val="242424"/>
          <w:spacing w:val="3"/>
          <w:sz w:val="24"/>
          <w:szCs w:val="24"/>
          <w:lang w:val="de-DE" w:eastAsia="en-GB"/>
        </w:rPr>
        <w:t>Letztlich s</w:t>
      </w:r>
      <w:r w:rsidR="00AB4C30">
        <w:rPr>
          <w:rFonts w:ascii="Times New Roman" w:eastAsia="Times New Roman" w:hAnsi="Times New Roman" w:cs="Times New Roman"/>
          <w:color w:val="242424"/>
          <w:spacing w:val="3"/>
          <w:sz w:val="24"/>
          <w:szCs w:val="24"/>
          <w:lang w:val="de-DE" w:eastAsia="en-GB"/>
        </w:rPr>
        <w:t>ei</w:t>
      </w:r>
      <w:r w:rsidR="0059586E" w:rsidRPr="00724EDF">
        <w:rPr>
          <w:rFonts w:ascii="Times New Roman" w:eastAsia="Times New Roman" w:hAnsi="Times New Roman" w:cs="Times New Roman"/>
          <w:color w:val="242424"/>
          <w:spacing w:val="3"/>
          <w:sz w:val="24"/>
          <w:szCs w:val="24"/>
          <w:lang w:val="de-DE" w:eastAsia="en-GB"/>
        </w:rPr>
        <w:t xml:space="preserve"> die Union nur für zwei Teile des Abkommens nicht ausschließlich zuständig, nämlich für den Bereich der anderen ausländischen Investitionen als Direktinvestitionen</w:t>
      </w:r>
      <w:r w:rsidR="00FE7DCE">
        <w:rPr>
          <w:rFonts w:ascii="Times New Roman" w:eastAsia="Times New Roman" w:hAnsi="Times New Roman" w:cs="Times New Roman"/>
          <w:color w:val="242424"/>
          <w:spacing w:val="3"/>
          <w:sz w:val="24"/>
          <w:szCs w:val="24"/>
          <w:lang w:val="de-DE" w:eastAsia="en-GB"/>
        </w:rPr>
        <w:t xml:space="preserve"> (</w:t>
      </w:r>
      <w:r w:rsidR="0059586E" w:rsidRPr="00724EDF">
        <w:rPr>
          <w:rFonts w:ascii="Times New Roman" w:eastAsia="Times New Roman" w:hAnsi="Times New Roman" w:cs="Times New Roman"/>
          <w:color w:val="242424"/>
          <w:spacing w:val="3"/>
          <w:sz w:val="24"/>
          <w:szCs w:val="24"/>
          <w:lang w:val="de-DE" w:eastAsia="en-GB"/>
        </w:rPr>
        <w:t>„Portfolioinvestitionen“</w:t>
      </w:r>
      <w:r w:rsidR="00FE7DCE">
        <w:rPr>
          <w:rFonts w:ascii="Times New Roman" w:eastAsia="Times New Roman" w:hAnsi="Times New Roman" w:cs="Times New Roman"/>
          <w:color w:val="242424"/>
          <w:spacing w:val="3"/>
          <w:sz w:val="24"/>
          <w:szCs w:val="24"/>
          <w:lang w:val="de-DE" w:eastAsia="en-GB"/>
        </w:rPr>
        <w:t>)</w:t>
      </w:r>
      <w:r w:rsidR="00FE7DCE">
        <w:rPr>
          <w:rStyle w:val="FootnoteReference"/>
          <w:rFonts w:ascii="Times New Roman" w:eastAsia="Times New Roman" w:hAnsi="Times New Roman" w:cs="Times New Roman"/>
          <w:color w:val="242424"/>
          <w:spacing w:val="3"/>
          <w:sz w:val="24"/>
          <w:szCs w:val="24"/>
          <w:lang w:val="de-DE" w:eastAsia="en-GB"/>
        </w:rPr>
        <w:footnoteReference w:id="8"/>
      </w:r>
      <w:r w:rsidR="0059586E" w:rsidRPr="00724EDF">
        <w:rPr>
          <w:rFonts w:ascii="Times New Roman" w:eastAsia="Times New Roman" w:hAnsi="Times New Roman" w:cs="Times New Roman"/>
          <w:color w:val="242424"/>
          <w:spacing w:val="3"/>
          <w:sz w:val="24"/>
          <w:szCs w:val="24"/>
          <w:lang w:val="de-DE" w:eastAsia="en-GB"/>
        </w:rPr>
        <w:t>, und für die Regelung der Beilegung von Streitigkeiten zwischen Investoren und Staaten.</w:t>
      </w:r>
      <w:r w:rsidR="001C22B1">
        <w:rPr>
          <w:rFonts w:ascii="Times New Roman" w:eastAsia="Times New Roman" w:hAnsi="Times New Roman" w:cs="Times New Roman"/>
          <w:color w:val="242424"/>
          <w:spacing w:val="3"/>
          <w:sz w:val="24"/>
          <w:szCs w:val="24"/>
          <w:lang w:val="de-DE" w:eastAsia="en-GB"/>
        </w:rPr>
        <w:t xml:space="preserve"> </w:t>
      </w:r>
      <w:r w:rsidR="00BE6726">
        <w:rPr>
          <w:rFonts w:ascii="Times New Roman" w:eastAsia="Times New Roman" w:hAnsi="Times New Roman" w:cs="Times New Roman"/>
          <w:color w:val="242424"/>
          <w:spacing w:val="3"/>
          <w:sz w:val="24"/>
          <w:szCs w:val="24"/>
          <w:lang w:val="de-DE" w:eastAsia="en-GB"/>
        </w:rPr>
        <w:t>D</w:t>
      </w:r>
      <w:r w:rsidR="0059586E" w:rsidRPr="00724EDF">
        <w:rPr>
          <w:rFonts w:ascii="Times New Roman" w:eastAsia="Times New Roman" w:hAnsi="Times New Roman" w:cs="Times New Roman"/>
          <w:color w:val="242424"/>
          <w:spacing w:val="3"/>
          <w:sz w:val="24"/>
          <w:szCs w:val="24"/>
          <w:lang w:val="de-DE" w:eastAsia="en-GB"/>
        </w:rPr>
        <w:t>ie Regelung von Streitigkeiten zwischen Investoren und Staaten fällt in die zwischen der Union und den Mitgliedstaaten geteilte Zuständigkeit.</w:t>
      </w:r>
    </w:p>
    <w:p w14:paraId="6BA0C40D" w14:textId="041DCE6B" w:rsidR="00AB4C30" w:rsidRDefault="0059586E" w:rsidP="00122481">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Pr>
          <w:rFonts w:ascii="Times New Roman" w:eastAsia="Times New Roman" w:hAnsi="Times New Roman" w:cs="Times New Roman"/>
          <w:color w:val="242424"/>
          <w:spacing w:val="3"/>
          <w:sz w:val="24"/>
          <w:szCs w:val="24"/>
          <w:lang w:val="de-DE" w:eastAsia="en-GB"/>
        </w:rPr>
        <w:lastRenderedPageBreak/>
        <w:t xml:space="preserve">Der EUGH kam zum Schluss, dass die Kommission </w:t>
      </w:r>
      <w:r w:rsidRPr="00125CF5">
        <w:rPr>
          <w:rFonts w:ascii="Times New Roman" w:eastAsia="Times New Roman" w:hAnsi="Times New Roman" w:cs="Times New Roman"/>
          <w:i/>
          <w:iCs/>
          <w:color w:val="242424"/>
          <w:spacing w:val="3"/>
          <w:sz w:val="24"/>
          <w:szCs w:val="24"/>
          <w:lang w:val="de-DE" w:eastAsia="en-GB"/>
        </w:rPr>
        <w:t>nicht die alleinige Befugnis</w:t>
      </w:r>
      <w:r>
        <w:rPr>
          <w:rFonts w:ascii="Times New Roman" w:eastAsia="Times New Roman" w:hAnsi="Times New Roman" w:cs="Times New Roman"/>
          <w:color w:val="242424"/>
          <w:spacing w:val="3"/>
          <w:sz w:val="24"/>
          <w:szCs w:val="24"/>
          <w:lang w:val="de-DE" w:eastAsia="en-GB"/>
        </w:rPr>
        <w:t xml:space="preserve"> hat, ein gemischtes Abkommen wie es </w:t>
      </w:r>
      <w:r w:rsidR="00245A48" w:rsidRPr="00E82A3F">
        <w:rPr>
          <w:rFonts w:ascii="Times New Roman" w:eastAsia="Times New Roman" w:hAnsi="Times New Roman" w:cs="Times New Roman"/>
          <w:color w:val="242424"/>
          <w:spacing w:val="3"/>
          <w:sz w:val="24"/>
          <w:szCs w:val="24"/>
          <w:lang w:val="de-DE" w:eastAsia="en-GB"/>
        </w:rPr>
        <w:t xml:space="preserve">jenes mit </w:t>
      </w:r>
      <w:r w:rsidRPr="00E82A3F">
        <w:rPr>
          <w:rFonts w:ascii="Times New Roman" w:eastAsia="Times New Roman" w:hAnsi="Times New Roman" w:cs="Times New Roman"/>
          <w:color w:val="242424"/>
          <w:spacing w:val="3"/>
          <w:sz w:val="24"/>
          <w:szCs w:val="24"/>
          <w:lang w:val="de-DE" w:eastAsia="en-GB"/>
        </w:rPr>
        <w:t>Singapur darstellt, abzuschließen.</w:t>
      </w:r>
      <w:r w:rsidRPr="00E82A3F">
        <w:rPr>
          <w:rStyle w:val="FootnoteReference"/>
          <w:rFonts w:ascii="Times New Roman" w:eastAsia="Times New Roman" w:hAnsi="Times New Roman" w:cs="Times New Roman"/>
          <w:color w:val="242424"/>
          <w:spacing w:val="3"/>
          <w:sz w:val="24"/>
          <w:szCs w:val="24"/>
          <w:lang w:val="de-DE" w:eastAsia="en-GB"/>
        </w:rPr>
        <w:footnoteReference w:id="9"/>
      </w:r>
      <w:r w:rsidRPr="00E82A3F">
        <w:rPr>
          <w:rFonts w:ascii="Times New Roman" w:eastAsia="Times New Roman" w:hAnsi="Times New Roman" w:cs="Times New Roman"/>
          <w:color w:val="242424"/>
          <w:spacing w:val="3"/>
          <w:sz w:val="24"/>
          <w:szCs w:val="24"/>
          <w:lang w:val="de-DE" w:eastAsia="en-GB"/>
        </w:rPr>
        <w:t xml:space="preserve"> In der Folge ging die Kommission da</w:t>
      </w:r>
      <w:r w:rsidR="002760ED" w:rsidRPr="00E82A3F">
        <w:rPr>
          <w:rFonts w:ascii="Times New Roman" w:eastAsia="Times New Roman" w:hAnsi="Times New Roman" w:cs="Times New Roman"/>
          <w:color w:val="242424"/>
          <w:spacing w:val="3"/>
          <w:sz w:val="24"/>
          <w:szCs w:val="24"/>
          <w:lang w:val="de-DE" w:eastAsia="en-GB"/>
        </w:rPr>
        <w:t>zu über</w:t>
      </w:r>
      <w:r w:rsidRPr="00E82A3F">
        <w:rPr>
          <w:rFonts w:ascii="Times New Roman" w:eastAsia="Times New Roman" w:hAnsi="Times New Roman" w:cs="Times New Roman"/>
          <w:color w:val="242424"/>
          <w:spacing w:val="3"/>
          <w:sz w:val="24"/>
          <w:szCs w:val="24"/>
          <w:lang w:val="de-DE" w:eastAsia="en-GB"/>
        </w:rPr>
        <w:t xml:space="preserve">, Abkommen aufzuteilen, in einen </w:t>
      </w:r>
      <w:r w:rsidR="002760ED" w:rsidRPr="00E82A3F">
        <w:rPr>
          <w:rFonts w:ascii="Times New Roman" w:eastAsia="Times New Roman" w:hAnsi="Times New Roman" w:cs="Times New Roman"/>
          <w:color w:val="242424"/>
          <w:spacing w:val="3"/>
          <w:sz w:val="24"/>
          <w:szCs w:val="24"/>
          <w:lang w:val="de-DE" w:eastAsia="en-GB"/>
        </w:rPr>
        <w:t>in</w:t>
      </w:r>
      <w:r w:rsidR="002760ED">
        <w:rPr>
          <w:rFonts w:ascii="Times New Roman" w:eastAsia="Times New Roman" w:hAnsi="Times New Roman" w:cs="Times New Roman"/>
          <w:color w:val="242424"/>
          <w:spacing w:val="3"/>
          <w:sz w:val="24"/>
          <w:szCs w:val="24"/>
          <w:lang w:val="de-DE" w:eastAsia="en-GB"/>
        </w:rPr>
        <w:t xml:space="preserve"> </w:t>
      </w:r>
      <w:r>
        <w:rPr>
          <w:rFonts w:ascii="Times New Roman" w:eastAsia="Times New Roman" w:hAnsi="Times New Roman" w:cs="Times New Roman"/>
          <w:color w:val="242424"/>
          <w:spacing w:val="3"/>
          <w:sz w:val="24"/>
          <w:szCs w:val="24"/>
          <w:lang w:val="de-DE" w:eastAsia="en-GB"/>
        </w:rPr>
        <w:t xml:space="preserve">ihrer Zuständigkeit stehenden Handelsteil, in einen politischen Teil und in ein Kapitel für Investorenschutz. </w:t>
      </w:r>
    </w:p>
    <w:p w14:paraId="35DADDD5" w14:textId="6B9B6D2F" w:rsidR="00FE7DCE" w:rsidRDefault="00FE7DCE" w:rsidP="00F767A3">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sidRPr="00FE7DCE">
        <w:rPr>
          <w:rFonts w:ascii="Times New Roman" w:eastAsia="Times New Roman" w:hAnsi="Times New Roman" w:cs="Times New Roman"/>
          <w:color w:val="242424"/>
          <w:spacing w:val="3"/>
          <w:sz w:val="24"/>
          <w:szCs w:val="24"/>
          <w:lang w:val="de-DE" w:eastAsia="en-GB"/>
        </w:rPr>
        <w:t>Das kürzlich abgeschlossene Abkommen mit Chile  wurde dem Europäischen Rat zur Zustimmung vorgelegt, und zwar als „EU-</w:t>
      </w:r>
      <w:proofErr w:type="spellStart"/>
      <w:r w:rsidRPr="00FE7DCE">
        <w:rPr>
          <w:rFonts w:ascii="Times New Roman" w:eastAsia="Times New Roman" w:hAnsi="Times New Roman" w:cs="Times New Roman"/>
          <w:color w:val="242424"/>
          <w:spacing w:val="3"/>
          <w:sz w:val="24"/>
          <w:szCs w:val="24"/>
          <w:lang w:val="de-DE" w:eastAsia="en-GB"/>
        </w:rPr>
        <w:t>only</w:t>
      </w:r>
      <w:proofErr w:type="spellEnd"/>
      <w:r w:rsidRPr="00FE7DCE">
        <w:rPr>
          <w:rFonts w:ascii="Times New Roman" w:eastAsia="Times New Roman" w:hAnsi="Times New Roman" w:cs="Times New Roman"/>
          <w:color w:val="242424"/>
          <w:spacing w:val="3"/>
          <w:sz w:val="24"/>
          <w:szCs w:val="24"/>
          <w:lang w:val="de-DE" w:eastAsia="en-GB"/>
        </w:rPr>
        <w:t>“ mit einem handelspolitischen Teil, welcher nach Annahme durch den Rat interimistisch in Kraft gesetzt werden wird und in Form eines getrennten Abkommens mit Bestimmungen über Investitionen. In Fällen, in denen die Europäische Kommission beabsichtigt, Abkommen in mehrere Teilabkommen zu teilen, bringt sie die Befugnis für den rein handelspolitischen Abschnitt in ihre vollständige Kompetenz. Es gilt dann Mehrstimmigkeitsprinzip im Rat und die Zustimmung eines nationalen Parlaments ist nicht mehr erforderlich. Am 22. Mai 2018</w:t>
      </w:r>
      <w:r w:rsidR="00014056">
        <w:rPr>
          <w:rStyle w:val="FootnoteReference"/>
          <w:rFonts w:ascii="Times New Roman" w:eastAsia="Times New Roman" w:hAnsi="Times New Roman" w:cs="Times New Roman"/>
          <w:color w:val="242424"/>
          <w:spacing w:val="3"/>
          <w:sz w:val="24"/>
          <w:szCs w:val="24"/>
          <w:lang w:val="de-DE" w:eastAsia="en-GB"/>
        </w:rPr>
        <w:footnoteReference w:id="10"/>
      </w:r>
      <w:r w:rsidR="00655387">
        <w:rPr>
          <w:rFonts w:ascii="Times New Roman" w:eastAsia="Times New Roman" w:hAnsi="Times New Roman" w:cs="Times New Roman"/>
          <w:color w:val="242424"/>
          <w:spacing w:val="3"/>
          <w:sz w:val="24"/>
          <w:szCs w:val="24"/>
          <w:lang w:val="de-DE" w:eastAsia="en-GB"/>
        </w:rPr>
        <w:t xml:space="preserve"> </w:t>
      </w:r>
      <w:r w:rsidRPr="00FE7DCE">
        <w:rPr>
          <w:rFonts w:ascii="Times New Roman" w:eastAsia="Times New Roman" w:hAnsi="Times New Roman" w:cs="Times New Roman"/>
          <w:color w:val="242424"/>
          <w:spacing w:val="3"/>
          <w:sz w:val="24"/>
          <w:szCs w:val="24"/>
          <w:lang w:val="de-DE" w:eastAsia="en-GB"/>
        </w:rPr>
        <w:t>hat der Rat Schlussfolgerungen  angenommen, in denen festgelegt ist, wie Handelsabkommen ausgehandelt und geschlossen werden sollen. Sie enthalten die wichtigsten Grundsätze, die der Rat bei Handelsverhandlungen in Hinkunft verfolgen wird.</w:t>
      </w:r>
      <w:r>
        <w:rPr>
          <w:rFonts w:ascii="Times New Roman" w:eastAsia="Times New Roman" w:hAnsi="Times New Roman" w:cs="Times New Roman"/>
          <w:color w:val="242424"/>
          <w:spacing w:val="3"/>
          <w:sz w:val="24"/>
          <w:szCs w:val="24"/>
          <w:lang w:val="de-DE" w:eastAsia="en-GB"/>
        </w:rPr>
        <w:t xml:space="preserve"> </w:t>
      </w:r>
    </w:p>
    <w:p w14:paraId="24CBEB81" w14:textId="52FB3954" w:rsidR="00E82A3F" w:rsidRDefault="00904AD3" w:rsidP="00F767A3">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sidRPr="00904AD3">
        <w:rPr>
          <w:rFonts w:ascii="Times New Roman" w:eastAsia="Times New Roman" w:hAnsi="Times New Roman" w:cs="Times New Roman"/>
          <w:color w:val="242424"/>
          <w:spacing w:val="3"/>
          <w:sz w:val="24"/>
          <w:szCs w:val="24"/>
          <w:lang w:val="de-DE" w:eastAsia="en-GB"/>
        </w:rPr>
        <w:t xml:space="preserve">Der Streit um Handels- und Investitionsabkommen wird seit geraumer Zeit </w:t>
      </w:r>
      <w:r w:rsidR="00A63240">
        <w:rPr>
          <w:rFonts w:ascii="Times New Roman" w:eastAsia="Times New Roman" w:hAnsi="Times New Roman" w:cs="Times New Roman"/>
          <w:color w:val="242424"/>
          <w:spacing w:val="3"/>
          <w:sz w:val="24"/>
          <w:szCs w:val="24"/>
          <w:lang w:val="de-DE" w:eastAsia="en-GB"/>
        </w:rPr>
        <w:t xml:space="preserve">sowohl </w:t>
      </w:r>
      <w:r w:rsidRPr="00904AD3">
        <w:rPr>
          <w:rFonts w:ascii="Times New Roman" w:eastAsia="Times New Roman" w:hAnsi="Times New Roman" w:cs="Times New Roman"/>
          <w:color w:val="242424"/>
          <w:spacing w:val="3"/>
          <w:sz w:val="24"/>
          <w:szCs w:val="24"/>
          <w:lang w:val="de-DE" w:eastAsia="en-GB"/>
        </w:rPr>
        <w:t xml:space="preserve">politisch, </w:t>
      </w:r>
      <w:r w:rsidR="00A63240">
        <w:rPr>
          <w:rFonts w:ascii="Times New Roman" w:eastAsia="Times New Roman" w:hAnsi="Times New Roman" w:cs="Times New Roman"/>
          <w:color w:val="242424"/>
          <w:spacing w:val="3"/>
          <w:sz w:val="24"/>
          <w:szCs w:val="24"/>
          <w:lang w:val="de-DE" w:eastAsia="en-GB"/>
        </w:rPr>
        <w:t>also auch</w:t>
      </w:r>
      <w:r w:rsidRPr="00904AD3">
        <w:rPr>
          <w:rFonts w:ascii="Times New Roman" w:eastAsia="Times New Roman" w:hAnsi="Times New Roman" w:cs="Times New Roman"/>
          <w:color w:val="242424"/>
          <w:spacing w:val="3"/>
          <w:sz w:val="24"/>
          <w:szCs w:val="24"/>
          <w:lang w:val="de-DE" w:eastAsia="en-GB"/>
        </w:rPr>
        <w:t xml:space="preserve"> juristisch geführt: In Belgien führte CETA zu einer schweren politischen Krise, da die Region Wallonien die Zustimmung zu CETA zunächst verweigerte. Als Kompromiss rief Belgien darauf</w:t>
      </w:r>
      <w:r w:rsidR="006A5489">
        <w:rPr>
          <w:rFonts w:ascii="Times New Roman" w:eastAsia="Times New Roman" w:hAnsi="Times New Roman" w:cs="Times New Roman"/>
          <w:color w:val="242424"/>
          <w:spacing w:val="3"/>
          <w:sz w:val="24"/>
          <w:szCs w:val="24"/>
          <w:lang w:val="de-DE" w:eastAsia="en-GB"/>
        </w:rPr>
        <w:t>hin</w:t>
      </w:r>
      <w:r w:rsidRPr="00904AD3">
        <w:rPr>
          <w:rFonts w:ascii="Times New Roman" w:eastAsia="Times New Roman" w:hAnsi="Times New Roman" w:cs="Times New Roman"/>
          <w:color w:val="242424"/>
          <w:spacing w:val="3"/>
          <w:sz w:val="24"/>
          <w:szCs w:val="24"/>
          <w:lang w:val="de-DE" w:eastAsia="en-GB"/>
        </w:rPr>
        <w:t xml:space="preserve"> den EuGH an und beantragte ein Gutachten nach Art 218 Abs 11 AEUV, mit dem der EuGH die Vereinbarkeit des CETA-Gerichtssystems mit dem Unionsrecht überprüfen sollte</w:t>
      </w:r>
      <w:r w:rsidR="008E7023">
        <w:rPr>
          <w:rFonts w:ascii="Times New Roman" w:eastAsia="Times New Roman" w:hAnsi="Times New Roman" w:cs="Times New Roman"/>
          <w:color w:val="242424"/>
          <w:spacing w:val="3"/>
          <w:sz w:val="24"/>
          <w:szCs w:val="24"/>
          <w:lang w:val="de-DE" w:eastAsia="en-GB"/>
        </w:rPr>
        <w:t>.</w:t>
      </w:r>
      <w:r w:rsidR="00F767A3">
        <w:rPr>
          <w:rStyle w:val="FootnoteReference"/>
          <w:rFonts w:ascii="Times New Roman" w:eastAsia="Times New Roman" w:hAnsi="Times New Roman" w:cs="Times New Roman"/>
          <w:color w:val="242424"/>
          <w:spacing w:val="3"/>
          <w:sz w:val="24"/>
          <w:szCs w:val="24"/>
          <w:lang w:val="de-DE" w:eastAsia="en-GB"/>
        </w:rPr>
        <w:footnoteReference w:id="11"/>
      </w:r>
      <w:r>
        <w:rPr>
          <w:rFonts w:ascii="Times New Roman" w:eastAsia="Times New Roman" w:hAnsi="Times New Roman" w:cs="Times New Roman"/>
          <w:color w:val="242424"/>
          <w:spacing w:val="3"/>
          <w:sz w:val="24"/>
          <w:szCs w:val="24"/>
          <w:lang w:val="de-DE" w:eastAsia="en-GB"/>
        </w:rPr>
        <w:t xml:space="preserve"> </w:t>
      </w:r>
      <w:r w:rsidRPr="00904AD3">
        <w:rPr>
          <w:rFonts w:ascii="Times New Roman" w:eastAsia="Times New Roman" w:hAnsi="Times New Roman" w:cs="Times New Roman"/>
          <w:color w:val="242424"/>
          <w:spacing w:val="3"/>
          <w:sz w:val="24"/>
          <w:szCs w:val="24"/>
          <w:lang w:val="de-DE" w:eastAsia="en-GB"/>
        </w:rPr>
        <w:t xml:space="preserve">Belgien hatte im </w:t>
      </w:r>
      <w:r w:rsidR="00A63240" w:rsidRPr="00904AD3">
        <w:rPr>
          <w:rFonts w:ascii="Times New Roman" w:eastAsia="Times New Roman" w:hAnsi="Times New Roman" w:cs="Times New Roman"/>
          <w:color w:val="242424"/>
          <w:spacing w:val="3"/>
          <w:sz w:val="24"/>
          <w:szCs w:val="24"/>
          <w:lang w:val="de-DE" w:eastAsia="en-GB"/>
        </w:rPr>
        <w:t>Wesentlichen</w:t>
      </w:r>
      <w:r w:rsidRPr="00904AD3">
        <w:rPr>
          <w:rFonts w:ascii="Times New Roman" w:eastAsia="Times New Roman" w:hAnsi="Times New Roman" w:cs="Times New Roman"/>
          <w:color w:val="242424"/>
          <w:spacing w:val="3"/>
          <w:sz w:val="24"/>
          <w:szCs w:val="24"/>
          <w:lang w:val="de-DE" w:eastAsia="en-GB"/>
        </w:rPr>
        <w:t xml:space="preserve"> drei Bedenken: Erstens, das im CETA vorgesehene Gerichtssystem beeinträchtige die Autonomie der Unionsrechtsordnung. Zweitens, das CETA-Gerichtssystem verletze den Grundsatz der Gleichbehandlung und drittens, das CETA-Gerichtssystem sei mit dem Grundsatz des Rechts auf Zugang zu einem unabhängigen Gericht unvereinbar.</w:t>
      </w:r>
      <w:r>
        <w:rPr>
          <w:rFonts w:ascii="Times New Roman" w:eastAsia="Times New Roman" w:hAnsi="Times New Roman" w:cs="Times New Roman"/>
          <w:color w:val="242424"/>
          <w:spacing w:val="3"/>
          <w:sz w:val="24"/>
          <w:szCs w:val="24"/>
          <w:lang w:val="de-DE" w:eastAsia="en-GB"/>
        </w:rPr>
        <w:t xml:space="preserve"> </w:t>
      </w:r>
      <w:r w:rsidRPr="00904AD3">
        <w:rPr>
          <w:rFonts w:ascii="Times New Roman" w:eastAsia="Times New Roman" w:hAnsi="Times New Roman" w:cs="Times New Roman"/>
          <w:color w:val="242424"/>
          <w:spacing w:val="3"/>
          <w:sz w:val="24"/>
          <w:szCs w:val="24"/>
          <w:lang w:val="de-DE" w:eastAsia="en-GB"/>
        </w:rPr>
        <w:t>Gegenstand des Verfahrens vor dem EuGH war also ausschließlich das CETA-Gerichtssystem für ausländische Investoren und die Frage, ob dieses mit dem Primärrecht der Union vereinbar sei. Andere Streitbeilegungsmechanismen wie klassische Investor-Staat-Schiedsgerichtsverfahren oder andere Kritikpunkte an CETA wie die geplante regulatorische Kooperation standen nicht zur Debatte.</w:t>
      </w:r>
      <w:r>
        <w:rPr>
          <w:rFonts w:ascii="Times New Roman" w:eastAsia="Times New Roman" w:hAnsi="Times New Roman" w:cs="Times New Roman"/>
          <w:color w:val="242424"/>
          <w:spacing w:val="3"/>
          <w:sz w:val="24"/>
          <w:szCs w:val="24"/>
          <w:lang w:val="de-DE" w:eastAsia="en-GB"/>
        </w:rPr>
        <w:t xml:space="preserve"> </w:t>
      </w:r>
      <w:r w:rsidR="00D02310">
        <w:rPr>
          <w:rStyle w:val="FootnoteReference"/>
          <w:rFonts w:ascii="Times New Roman" w:eastAsia="Times New Roman" w:hAnsi="Times New Roman" w:cs="Times New Roman"/>
          <w:color w:val="242424"/>
          <w:spacing w:val="3"/>
          <w:sz w:val="24"/>
          <w:szCs w:val="24"/>
          <w:lang w:val="de-DE" w:eastAsia="en-GB"/>
        </w:rPr>
        <w:footnoteReference w:id="12"/>
      </w:r>
    </w:p>
    <w:p w14:paraId="4D2A98B0" w14:textId="4D50E8AA" w:rsidR="0059586E" w:rsidRPr="00ED1096" w:rsidRDefault="00605194" w:rsidP="00F767A3">
      <w:pPr>
        <w:shd w:val="clear" w:color="auto" w:fill="FFFFFF"/>
        <w:spacing w:after="0" w:afterAutospacing="1" w:line="240" w:lineRule="auto"/>
        <w:jc w:val="both"/>
        <w:rPr>
          <w:rFonts w:ascii="Times New Roman" w:eastAsia="Times New Roman" w:hAnsi="Times New Roman" w:cs="Times New Roman"/>
          <w:color w:val="242424"/>
          <w:spacing w:val="3"/>
          <w:sz w:val="24"/>
          <w:szCs w:val="24"/>
          <w:lang w:val="de-DE" w:eastAsia="en-GB"/>
        </w:rPr>
      </w:pPr>
      <w:r>
        <w:rPr>
          <w:rFonts w:ascii="Times New Roman" w:eastAsia="Times New Roman" w:hAnsi="Times New Roman" w:cs="Times New Roman"/>
          <w:color w:val="242424"/>
          <w:spacing w:val="3"/>
          <w:sz w:val="24"/>
          <w:szCs w:val="24"/>
          <w:lang w:val="de-DE" w:eastAsia="en-GB"/>
        </w:rPr>
        <w:t>V</w:t>
      </w:r>
      <w:r w:rsidRPr="00904AD3">
        <w:rPr>
          <w:rFonts w:ascii="Times New Roman" w:eastAsia="Times New Roman" w:hAnsi="Times New Roman" w:cs="Times New Roman"/>
          <w:color w:val="242424"/>
          <w:spacing w:val="3"/>
          <w:sz w:val="24"/>
          <w:szCs w:val="24"/>
          <w:lang w:val="de-DE" w:eastAsia="en-GB"/>
        </w:rPr>
        <w:t xml:space="preserve">or dem </w:t>
      </w:r>
      <w:r>
        <w:rPr>
          <w:rFonts w:ascii="Times New Roman" w:eastAsia="Times New Roman" w:hAnsi="Times New Roman" w:cs="Times New Roman"/>
          <w:color w:val="242424"/>
          <w:spacing w:val="3"/>
          <w:sz w:val="24"/>
          <w:szCs w:val="24"/>
          <w:lang w:val="de-DE" w:eastAsia="en-GB"/>
        </w:rPr>
        <w:t xml:space="preserve">deutschen </w:t>
      </w:r>
      <w:r w:rsidRPr="00904AD3">
        <w:rPr>
          <w:rFonts w:ascii="Times New Roman" w:eastAsia="Times New Roman" w:hAnsi="Times New Roman" w:cs="Times New Roman"/>
          <w:color w:val="242424"/>
          <w:spacing w:val="3"/>
          <w:sz w:val="24"/>
          <w:szCs w:val="24"/>
          <w:lang w:val="de-DE" w:eastAsia="en-GB"/>
        </w:rPr>
        <w:t xml:space="preserve">Bundesverfassungsgericht </w:t>
      </w:r>
      <w:r>
        <w:rPr>
          <w:rFonts w:ascii="Times New Roman" w:eastAsia="Times New Roman" w:hAnsi="Times New Roman" w:cs="Times New Roman"/>
          <w:color w:val="242424"/>
          <w:spacing w:val="3"/>
          <w:sz w:val="24"/>
          <w:szCs w:val="24"/>
          <w:lang w:val="de-DE" w:eastAsia="en-GB"/>
        </w:rPr>
        <w:t>waren</w:t>
      </w:r>
      <w:r w:rsidRPr="00904AD3">
        <w:rPr>
          <w:rFonts w:ascii="Times New Roman" w:eastAsia="Times New Roman" w:hAnsi="Times New Roman" w:cs="Times New Roman"/>
          <w:color w:val="242424"/>
          <w:spacing w:val="3"/>
          <w:sz w:val="24"/>
          <w:szCs w:val="24"/>
          <w:lang w:val="de-DE" w:eastAsia="en-GB"/>
        </w:rPr>
        <w:t xml:space="preserve"> ebenfalls Klagen anhängig</w:t>
      </w:r>
      <w:r>
        <w:rPr>
          <w:rFonts w:ascii="Times New Roman" w:eastAsia="Times New Roman" w:hAnsi="Times New Roman" w:cs="Times New Roman"/>
          <w:color w:val="242424"/>
          <w:spacing w:val="3"/>
          <w:sz w:val="24"/>
          <w:szCs w:val="24"/>
          <w:lang w:val="de-DE" w:eastAsia="en-GB"/>
        </w:rPr>
        <w:t>.</w:t>
      </w:r>
      <w:r>
        <w:rPr>
          <w:rStyle w:val="FootnoteReference"/>
          <w:rFonts w:ascii="Times New Roman" w:eastAsia="Times New Roman" w:hAnsi="Times New Roman" w:cs="Times New Roman"/>
          <w:color w:val="242424"/>
          <w:spacing w:val="3"/>
          <w:sz w:val="24"/>
          <w:szCs w:val="24"/>
          <w:lang w:val="de-DE" w:eastAsia="en-GB"/>
        </w:rPr>
        <w:footnoteReference w:id="13"/>
      </w:r>
      <w:r>
        <w:rPr>
          <w:rFonts w:ascii="Times New Roman" w:eastAsia="Times New Roman" w:hAnsi="Times New Roman" w:cs="Times New Roman"/>
          <w:color w:val="242424"/>
          <w:spacing w:val="3"/>
          <w:sz w:val="24"/>
          <w:szCs w:val="24"/>
          <w:lang w:val="de-DE" w:eastAsia="en-GB"/>
        </w:rPr>
        <w:t xml:space="preserve"> </w:t>
      </w:r>
      <w:r w:rsidR="0059586E" w:rsidRPr="00504B77">
        <w:rPr>
          <w:rFonts w:ascii="Times New Roman" w:eastAsia="Times New Roman" w:hAnsi="Times New Roman" w:cs="Times New Roman"/>
          <w:color w:val="242424"/>
          <w:spacing w:val="3"/>
          <w:sz w:val="24"/>
          <w:szCs w:val="24"/>
          <w:lang w:val="de-DE" w:eastAsia="en-GB"/>
        </w:rPr>
        <w:t xml:space="preserve">2016 Foodwatch, </w:t>
      </w:r>
      <w:r w:rsidR="00BA5903">
        <w:rPr>
          <w:rFonts w:ascii="Times New Roman" w:eastAsia="Times New Roman" w:hAnsi="Times New Roman" w:cs="Times New Roman"/>
          <w:color w:val="242424"/>
          <w:spacing w:val="3"/>
          <w:sz w:val="24"/>
          <w:szCs w:val="24"/>
          <w:lang w:val="de-DE" w:eastAsia="en-GB"/>
        </w:rPr>
        <w:t>„</w:t>
      </w:r>
      <w:r w:rsidR="0059586E" w:rsidRPr="00504B77">
        <w:rPr>
          <w:rFonts w:ascii="Times New Roman" w:eastAsia="Times New Roman" w:hAnsi="Times New Roman" w:cs="Times New Roman"/>
          <w:color w:val="242424"/>
          <w:spacing w:val="3"/>
          <w:sz w:val="24"/>
          <w:szCs w:val="24"/>
          <w:lang w:val="de-DE" w:eastAsia="en-GB"/>
        </w:rPr>
        <w:t>Mehr Demokratie</w:t>
      </w:r>
      <w:r w:rsidR="00BA5903">
        <w:rPr>
          <w:rFonts w:ascii="Times New Roman" w:eastAsia="Times New Roman" w:hAnsi="Times New Roman" w:cs="Times New Roman"/>
          <w:color w:val="242424"/>
          <w:spacing w:val="3"/>
          <w:sz w:val="24"/>
          <w:szCs w:val="24"/>
          <w:lang w:val="de-DE" w:eastAsia="en-GB"/>
        </w:rPr>
        <w:t>“</w:t>
      </w:r>
      <w:r w:rsidR="0059586E" w:rsidRPr="00504B77">
        <w:rPr>
          <w:rFonts w:ascii="Times New Roman" w:eastAsia="Times New Roman" w:hAnsi="Times New Roman" w:cs="Times New Roman"/>
          <w:color w:val="242424"/>
          <w:spacing w:val="3"/>
          <w:sz w:val="24"/>
          <w:szCs w:val="24"/>
          <w:lang w:val="de-DE" w:eastAsia="en-GB"/>
        </w:rPr>
        <w:t xml:space="preserve"> und Campact gemeinsam mit 125.000 Bürgerinnen und </w:t>
      </w:r>
      <w:r w:rsidR="0059586E" w:rsidRPr="00504B77">
        <w:rPr>
          <w:rFonts w:ascii="Times New Roman" w:eastAsia="Times New Roman" w:hAnsi="Times New Roman" w:cs="Times New Roman"/>
          <w:color w:val="242424"/>
          <w:spacing w:val="3"/>
          <w:sz w:val="24"/>
          <w:szCs w:val="24"/>
          <w:lang w:val="de-DE" w:eastAsia="en-GB"/>
        </w:rPr>
        <w:lastRenderedPageBreak/>
        <w:t xml:space="preserve">Bürgern eine Verfassungsbeschwerde </w:t>
      </w:r>
      <w:r w:rsidR="00AB4C30" w:rsidRPr="00ED1096">
        <w:rPr>
          <w:rFonts w:ascii="Times New Roman" w:eastAsia="Times New Roman" w:hAnsi="Times New Roman" w:cs="Times New Roman"/>
          <w:color w:val="242424"/>
          <w:spacing w:val="3"/>
          <w:sz w:val="24"/>
          <w:szCs w:val="24"/>
          <w:lang w:val="de-DE" w:eastAsia="en-GB"/>
        </w:rPr>
        <w:t>beim Bundesverfassungsgericht</w:t>
      </w:r>
      <w:r w:rsidR="00904AD3">
        <w:rPr>
          <w:rStyle w:val="FootnoteReference"/>
          <w:rFonts w:ascii="Times New Roman" w:eastAsia="Times New Roman" w:hAnsi="Times New Roman" w:cs="Times New Roman"/>
          <w:color w:val="242424"/>
          <w:spacing w:val="3"/>
          <w:sz w:val="24"/>
          <w:szCs w:val="24"/>
          <w:lang w:val="de-DE" w:eastAsia="en-GB"/>
        </w:rPr>
        <w:footnoteReference w:id="14"/>
      </w:r>
      <w:r w:rsidR="00AB4C30" w:rsidRPr="00ED1096">
        <w:rPr>
          <w:rFonts w:ascii="Times New Roman" w:eastAsia="Times New Roman" w:hAnsi="Times New Roman" w:cs="Times New Roman"/>
          <w:color w:val="242424"/>
          <w:spacing w:val="3"/>
          <w:sz w:val="24"/>
          <w:szCs w:val="24"/>
          <w:lang w:val="de-DE" w:eastAsia="en-GB"/>
        </w:rPr>
        <w:t xml:space="preserve"> in Karlsruhe gegen </w:t>
      </w:r>
      <w:r w:rsidR="00904AD3">
        <w:rPr>
          <w:rFonts w:ascii="Times New Roman" w:eastAsia="Times New Roman" w:hAnsi="Times New Roman" w:cs="Times New Roman"/>
          <w:color w:val="242424"/>
          <w:spacing w:val="3"/>
          <w:sz w:val="24"/>
          <w:szCs w:val="24"/>
          <w:lang w:val="de-DE" w:eastAsia="en-GB"/>
        </w:rPr>
        <w:t>CETA</w:t>
      </w:r>
      <w:r w:rsidR="001A1467">
        <w:rPr>
          <w:rFonts w:ascii="Times New Roman" w:eastAsia="Times New Roman" w:hAnsi="Times New Roman" w:cs="Times New Roman"/>
          <w:color w:val="242424"/>
          <w:spacing w:val="3"/>
          <w:sz w:val="24"/>
          <w:szCs w:val="24"/>
          <w:lang w:val="de-DE" w:eastAsia="en-GB"/>
        </w:rPr>
        <w:t xml:space="preserve"> ein</w:t>
      </w:r>
      <w:r w:rsidR="008E7023">
        <w:rPr>
          <w:rFonts w:ascii="Times New Roman" w:eastAsia="Times New Roman" w:hAnsi="Times New Roman" w:cs="Times New Roman"/>
          <w:color w:val="242424"/>
          <w:spacing w:val="3"/>
          <w:sz w:val="24"/>
          <w:szCs w:val="24"/>
          <w:lang w:val="de-DE" w:eastAsia="en-GB"/>
        </w:rPr>
        <w:t>.</w:t>
      </w:r>
      <w:r w:rsidR="00904AD3">
        <w:rPr>
          <w:rStyle w:val="FootnoteReference"/>
          <w:rFonts w:ascii="Times New Roman" w:eastAsia="Times New Roman" w:hAnsi="Times New Roman" w:cs="Times New Roman"/>
          <w:color w:val="242424"/>
          <w:spacing w:val="3"/>
          <w:sz w:val="24"/>
          <w:szCs w:val="24"/>
          <w:lang w:val="de-DE" w:eastAsia="en-GB"/>
        </w:rPr>
        <w:footnoteReference w:id="15"/>
      </w:r>
      <w:r w:rsidR="00B03BB9" w:rsidRPr="00ED1096">
        <w:rPr>
          <w:rFonts w:ascii="Times New Roman" w:eastAsia="Times New Roman" w:hAnsi="Times New Roman" w:cs="Times New Roman"/>
          <w:color w:val="242424"/>
          <w:spacing w:val="3"/>
          <w:sz w:val="24"/>
          <w:szCs w:val="24"/>
          <w:lang w:val="de-DE" w:eastAsia="en-GB"/>
        </w:rPr>
        <w:t xml:space="preserve"> </w:t>
      </w:r>
      <w:r w:rsidR="0059586E" w:rsidRPr="00ED1096">
        <w:rPr>
          <w:rFonts w:ascii="Times New Roman" w:eastAsia="Times New Roman" w:hAnsi="Times New Roman" w:cs="Times New Roman"/>
          <w:color w:val="242424"/>
          <w:spacing w:val="3"/>
          <w:sz w:val="24"/>
          <w:szCs w:val="24"/>
          <w:lang w:val="de-DE" w:eastAsia="en-GB"/>
        </w:rPr>
        <w:t xml:space="preserve">In rechtlicher Hinsicht hat CETA den vorgebrachten Kritikpunkten vor dem </w:t>
      </w:r>
      <w:r w:rsidR="006A5489">
        <w:rPr>
          <w:rFonts w:ascii="Times New Roman" w:eastAsia="Times New Roman" w:hAnsi="Times New Roman" w:cs="Times New Roman"/>
          <w:color w:val="242424"/>
          <w:spacing w:val="3"/>
          <w:sz w:val="24"/>
          <w:szCs w:val="24"/>
          <w:lang w:val="de-DE" w:eastAsia="en-GB"/>
        </w:rPr>
        <w:t>d</w:t>
      </w:r>
      <w:r w:rsidR="0059586E" w:rsidRPr="00ED1096">
        <w:rPr>
          <w:rFonts w:ascii="Times New Roman" w:eastAsia="Times New Roman" w:hAnsi="Times New Roman" w:cs="Times New Roman"/>
          <w:color w:val="242424"/>
          <w:spacing w:val="3"/>
          <w:sz w:val="24"/>
          <w:szCs w:val="24"/>
          <w:lang w:val="de-DE" w:eastAsia="en-GB"/>
        </w:rPr>
        <w:t>eutschen Bundesverfassungsgericht standgehalten.</w:t>
      </w:r>
    </w:p>
    <w:p w14:paraId="76306CA4" w14:textId="08DD2B8B" w:rsidR="0059586E" w:rsidRPr="00F96623" w:rsidRDefault="00613621" w:rsidP="00014056">
      <w:pPr>
        <w:pStyle w:val="Heading1"/>
        <w:spacing w:before="0" w:line="360" w:lineRule="auto"/>
        <w:rPr>
          <w:rStyle w:val="Hyperlink"/>
          <w:rFonts w:ascii="Times New Roman" w:hAnsi="Times New Roman" w:cs="Times New Roman"/>
          <w:b/>
          <w:bCs/>
          <w:color w:val="000000" w:themeColor="text1"/>
          <w:sz w:val="24"/>
          <w:szCs w:val="24"/>
          <w:u w:val="none"/>
          <w:lang w:val="de-DE"/>
        </w:rPr>
      </w:pPr>
      <w:bookmarkStart w:id="2" w:name="_Toc161050722"/>
      <w:r w:rsidRPr="00F96623">
        <w:rPr>
          <w:rStyle w:val="Hyperlink"/>
          <w:rFonts w:ascii="Times New Roman" w:hAnsi="Times New Roman" w:cs="Times New Roman"/>
          <w:b/>
          <w:bCs/>
          <w:color w:val="000000" w:themeColor="text1"/>
          <w:sz w:val="24"/>
          <w:szCs w:val="24"/>
          <w:u w:val="none"/>
          <w:lang w:val="de-DE"/>
        </w:rPr>
        <w:t>III</w:t>
      </w:r>
      <w:r w:rsidR="00ED1096" w:rsidRPr="00F96623">
        <w:rPr>
          <w:rStyle w:val="Hyperlink"/>
          <w:rFonts w:ascii="Times New Roman" w:hAnsi="Times New Roman" w:cs="Times New Roman"/>
          <w:b/>
          <w:bCs/>
          <w:color w:val="000000" w:themeColor="text1"/>
          <w:sz w:val="24"/>
          <w:szCs w:val="24"/>
          <w:u w:val="none"/>
          <w:lang w:val="de-DE"/>
        </w:rPr>
        <w:tab/>
      </w:r>
      <w:r w:rsidR="009F047C" w:rsidRPr="00F96623">
        <w:rPr>
          <w:rFonts w:ascii="Times New Roman" w:hAnsi="Times New Roman" w:cs="Times New Roman"/>
          <w:b/>
          <w:bCs/>
          <w:color w:val="000000" w:themeColor="text1"/>
          <w:sz w:val="24"/>
          <w:szCs w:val="24"/>
          <w:lang w:val="de-DE"/>
        </w:rPr>
        <w:t>CETA-Urteile des deutschen Bundesverfassungsgerichtes</w:t>
      </w:r>
      <w:r w:rsidR="006A5489">
        <w:rPr>
          <w:rFonts w:ascii="Times New Roman" w:hAnsi="Times New Roman" w:cs="Times New Roman"/>
          <w:b/>
          <w:bCs/>
          <w:color w:val="000000" w:themeColor="text1"/>
          <w:sz w:val="24"/>
          <w:szCs w:val="24"/>
          <w:lang w:val="de-DE"/>
        </w:rPr>
        <w:t xml:space="preserve"> </w:t>
      </w:r>
      <w:r w:rsidR="009F047C" w:rsidRPr="00F96623">
        <w:rPr>
          <w:rFonts w:ascii="Times New Roman" w:hAnsi="Times New Roman" w:cs="Times New Roman"/>
          <w:b/>
          <w:bCs/>
          <w:color w:val="000000" w:themeColor="text1"/>
          <w:sz w:val="24"/>
          <w:szCs w:val="24"/>
          <w:lang w:val="de-DE"/>
        </w:rPr>
        <w:t>-</w:t>
      </w:r>
      <w:r w:rsidR="006A5489">
        <w:rPr>
          <w:rFonts w:ascii="Times New Roman" w:hAnsi="Times New Roman" w:cs="Times New Roman"/>
          <w:b/>
          <w:bCs/>
          <w:color w:val="000000" w:themeColor="text1"/>
          <w:sz w:val="24"/>
          <w:szCs w:val="24"/>
          <w:lang w:val="de-DE"/>
        </w:rPr>
        <w:t xml:space="preserve"> </w:t>
      </w:r>
      <w:r w:rsidR="009F047C" w:rsidRPr="00F96623">
        <w:rPr>
          <w:rFonts w:ascii="Times New Roman" w:hAnsi="Times New Roman" w:cs="Times New Roman"/>
          <w:b/>
          <w:bCs/>
          <w:color w:val="000000" w:themeColor="text1"/>
          <w:sz w:val="24"/>
          <w:szCs w:val="24"/>
          <w:lang w:val="de-DE"/>
        </w:rPr>
        <w:t>behauptetes Demokratiedefizit?</w:t>
      </w:r>
      <w:bookmarkEnd w:id="2"/>
    </w:p>
    <w:p w14:paraId="2A80E78C" w14:textId="3B74192D" w:rsidR="0059586E" w:rsidRPr="004F065E" w:rsidRDefault="0059586E" w:rsidP="00122481">
      <w:pPr>
        <w:pStyle w:val="NormalWeb"/>
        <w:shd w:val="clear" w:color="auto" w:fill="FFFFFF"/>
        <w:spacing w:before="0" w:beforeAutospacing="0" w:after="300" w:afterAutospacing="0"/>
        <w:jc w:val="both"/>
        <w:rPr>
          <w:color w:val="000000" w:themeColor="text1"/>
          <w:lang w:val="de-DE"/>
        </w:rPr>
      </w:pPr>
      <w:r w:rsidRPr="004F065E">
        <w:rPr>
          <w:color w:val="000000" w:themeColor="text1"/>
          <w:lang w:val="de-DE"/>
        </w:rPr>
        <w:t xml:space="preserve">Ansatzpunkt des Vorbringens waren die in CETA vorgesehenen Ausschüsse. Diese würden aus Sicht der Beschwerdeführenden den Einfluss der Parlamente schwächen, wodurch auch die Stimmen der Wählerinnen und Wähler weniger wert wären. Die in CETA vorgesehenen, bisher aber nicht aktiven Schiedsgerichte sah das Bündnis als Paralleljustiz, die staatliche Handlungsfreiheit einschränken und Konzerne begünstigen würde. Zudem sei das bewährte Vorsorgeprinzip gefährdet, das </w:t>
      </w:r>
      <w:proofErr w:type="spellStart"/>
      <w:r w:rsidRPr="004F065E">
        <w:rPr>
          <w:color w:val="000000" w:themeColor="text1"/>
          <w:lang w:val="de-DE"/>
        </w:rPr>
        <w:t>zB</w:t>
      </w:r>
      <w:proofErr w:type="spellEnd"/>
      <w:r w:rsidRPr="004F065E">
        <w:rPr>
          <w:color w:val="000000" w:themeColor="text1"/>
          <w:lang w:val="de-DE"/>
        </w:rPr>
        <w:t xml:space="preserve"> für den Gesundheits- und Verbraucherschutz eine Rolle spielt.</w:t>
      </w:r>
    </w:p>
    <w:p w14:paraId="5BF8F2D4" w14:textId="48A4681C" w:rsidR="0059586E" w:rsidRDefault="0059586E" w:rsidP="00122481">
      <w:pPr>
        <w:pStyle w:val="NormalWeb"/>
        <w:shd w:val="clear" w:color="auto" w:fill="FFFFFF"/>
        <w:spacing w:before="0" w:beforeAutospacing="0" w:after="300" w:afterAutospacing="0"/>
        <w:jc w:val="both"/>
        <w:rPr>
          <w:color w:val="000000" w:themeColor="text1"/>
          <w:spacing w:val="3"/>
          <w:lang w:val="de-DE"/>
        </w:rPr>
      </w:pPr>
      <w:r w:rsidRPr="004F065E">
        <w:rPr>
          <w:color w:val="000000" w:themeColor="text1"/>
          <w:spacing w:val="3"/>
          <w:lang w:val="de-DE"/>
        </w:rPr>
        <w:t xml:space="preserve">In seiner Entscheidung erklärte das Bundesverfassungsgericht CETA in der vorläufigen Anwendung als verfassungskonform. Das Bundesverfassungsgericht hatte drei </w:t>
      </w:r>
      <w:r w:rsidR="00930DD3">
        <w:rPr>
          <w:color w:val="000000" w:themeColor="text1"/>
          <w:spacing w:val="3"/>
          <w:lang w:val="de-DE"/>
        </w:rPr>
        <w:t xml:space="preserve">Bedingungen </w:t>
      </w:r>
      <w:r w:rsidRPr="004F065E">
        <w:rPr>
          <w:color w:val="000000" w:themeColor="text1"/>
          <w:spacing w:val="3"/>
          <w:lang w:val="de-DE"/>
        </w:rPr>
        <w:t xml:space="preserve">für die vorläufige Anwendung von CETA gemacht: 1. </w:t>
      </w:r>
      <w:r w:rsidR="00930DD3">
        <w:rPr>
          <w:color w:val="000000" w:themeColor="text1"/>
          <w:spacing w:val="3"/>
          <w:lang w:val="de-DE"/>
        </w:rPr>
        <w:t xml:space="preserve">Es </w:t>
      </w:r>
      <w:r w:rsidR="00930DD3" w:rsidRPr="004F065E">
        <w:rPr>
          <w:color w:val="000000" w:themeColor="text1"/>
          <w:spacing w:val="3"/>
          <w:lang w:val="de-DE"/>
        </w:rPr>
        <w:t xml:space="preserve">dürfen nur </w:t>
      </w:r>
      <w:r w:rsidRPr="004F065E">
        <w:rPr>
          <w:color w:val="000000" w:themeColor="text1"/>
          <w:spacing w:val="3"/>
          <w:lang w:val="de-DE"/>
        </w:rPr>
        <w:t>die Teile</w:t>
      </w:r>
      <w:r w:rsidR="00930DD3" w:rsidRPr="00930DD3">
        <w:rPr>
          <w:color w:val="000000" w:themeColor="text1"/>
          <w:spacing w:val="3"/>
          <w:lang w:val="de-DE"/>
        </w:rPr>
        <w:t xml:space="preserve"> </w:t>
      </w:r>
      <w:r w:rsidR="00930DD3">
        <w:rPr>
          <w:color w:val="000000" w:themeColor="text1"/>
          <w:spacing w:val="3"/>
          <w:lang w:val="de-DE"/>
        </w:rPr>
        <w:t>a</w:t>
      </w:r>
      <w:r w:rsidR="00930DD3" w:rsidRPr="004F065E">
        <w:rPr>
          <w:color w:val="000000" w:themeColor="text1"/>
          <w:spacing w:val="3"/>
          <w:lang w:val="de-DE"/>
        </w:rPr>
        <w:t>ngewendet</w:t>
      </w:r>
      <w:r w:rsidR="00930DD3" w:rsidRPr="00930DD3">
        <w:rPr>
          <w:color w:val="000000" w:themeColor="text1"/>
          <w:spacing w:val="3"/>
          <w:lang w:val="de-DE"/>
        </w:rPr>
        <w:t xml:space="preserve"> </w:t>
      </w:r>
      <w:r w:rsidR="00930DD3" w:rsidRPr="004F065E">
        <w:rPr>
          <w:color w:val="000000" w:themeColor="text1"/>
          <w:spacing w:val="3"/>
          <w:lang w:val="de-DE"/>
        </w:rPr>
        <w:t>werden</w:t>
      </w:r>
      <w:r w:rsidRPr="004F065E">
        <w:rPr>
          <w:color w:val="000000" w:themeColor="text1"/>
          <w:spacing w:val="3"/>
          <w:lang w:val="de-DE"/>
        </w:rPr>
        <w:t xml:space="preserve">, die in die alleinige Zuständigkeit der EU fallen. Die vorläufige Anwendung des Schiedsgerichtssystems ist damit ausgeschlossen. 2. Die CETA-Ausschüsse müssen demokratisch an die Parlamente der Mitgliedstaaten rückgebunden werden. 3. Deutschland und andere Mitgliedstaaten </w:t>
      </w:r>
      <w:r w:rsidR="0059144F" w:rsidRPr="004F065E">
        <w:rPr>
          <w:color w:val="000000" w:themeColor="text1"/>
          <w:spacing w:val="3"/>
          <w:lang w:val="de-DE"/>
        </w:rPr>
        <w:t>müssten</w:t>
      </w:r>
      <w:r w:rsidRPr="004F065E">
        <w:rPr>
          <w:color w:val="000000" w:themeColor="text1"/>
          <w:spacing w:val="3"/>
          <w:lang w:val="de-DE"/>
        </w:rPr>
        <w:t xml:space="preserve"> die vorläufige Anwendung von CETA einseitig kündigen können. </w:t>
      </w:r>
    </w:p>
    <w:p w14:paraId="05DCD041" w14:textId="77777777" w:rsidR="00E93293" w:rsidRDefault="0085547A" w:rsidP="0085547A">
      <w:pPr>
        <w:pStyle w:val="NormalWeb"/>
        <w:shd w:val="clear" w:color="auto" w:fill="FFFFFF"/>
        <w:jc w:val="both"/>
        <w:rPr>
          <w:color w:val="000000" w:themeColor="text1"/>
          <w:spacing w:val="3"/>
          <w:lang w:val="de-DE"/>
        </w:rPr>
      </w:pPr>
      <w:r>
        <w:rPr>
          <w:color w:val="000000" w:themeColor="text1"/>
          <w:spacing w:val="3"/>
          <w:lang w:val="de-DE"/>
        </w:rPr>
        <w:t xml:space="preserve">In der Folge wurde </w:t>
      </w:r>
      <w:r w:rsidR="00BA5903">
        <w:rPr>
          <w:color w:val="000000" w:themeColor="text1"/>
          <w:spacing w:val="3"/>
          <w:lang w:val="de-DE"/>
        </w:rPr>
        <w:t>d</w:t>
      </w:r>
      <w:r>
        <w:rPr>
          <w:color w:val="000000" w:themeColor="text1"/>
          <w:spacing w:val="3"/>
          <w:lang w:val="de-DE"/>
        </w:rPr>
        <w:t xml:space="preserve">as umfassende Wirtschafts- und Handelsabkommen zwischen der EU und Kanada (CETA) am 21. September 2017 </w:t>
      </w:r>
      <w:r w:rsidR="00BA5903">
        <w:rPr>
          <w:rStyle w:val="FootnoteReference"/>
          <w:color w:val="000000" w:themeColor="text1"/>
          <w:spacing w:val="3"/>
          <w:lang w:val="de-DE"/>
        </w:rPr>
        <w:footnoteReference w:id="16"/>
      </w:r>
      <w:r w:rsidR="00BA5903">
        <w:rPr>
          <w:color w:val="000000" w:themeColor="text1"/>
          <w:spacing w:val="3"/>
          <w:lang w:val="de-DE"/>
        </w:rPr>
        <w:t xml:space="preserve"> </w:t>
      </w:r>
      <w:r>
        <w:rPr>
          <w:color w:val="000000" w:themeColor="text1"/>
          <w:spacing w:val="3"/>
          <w:lang w:val="de-DE"/>
        </w:rPr>
        <w:t xml:space="preserve">vorläufig in Kraft </w:t>
      </w:r>
      <w:r w:rsidR="00BA5903">
        <w:rPr>
          <w:color w:val="000000" w:themeColor="text1"/>
          <w:spacing w:val="3"/>
          <w:lang w:val="de-DE"/>
        </w:rPr>
        <w:t>gesetzt</w:t>
      </w:r>
      <w:r>
        <w:rPr>
          <w:color w:val="000000" w:themeColor="text1"/>
          <w:spacing w:val="3"/>
          <w:lang w:val="de-DE"/>
        </w:rPr>
        <w:t xml:space="preserve">, nachdem die EU-Mitgliedstaaten im Rat sowie das Europäische Parlament ihre Zustimmung gegeben hatten. </w:t>
      </w:r>
    </w:p>
    <w:p w14:paraId="190BEF17" w14:textId="29DFB2D8" w:rsidR="0085547A" w:rsidRDefault="0085547A" w:rsidP="0085547A">
      <w:pPr>
        <w:pStyle w:val="NormalWeb"/>
        <w:shd w:val="clear" w:color="auto" w:fill="FFFFFF"/>
        <w:jc w:val="both"/>
        <w:rPr>
          <w:color w:val="000000" w:themeColor="text1"/>
          <w:spacing w:val="3"/>
          <w:lang w:val="de-DE"/>
        </w:rPr>
      </w:pPr>
      <w:r>
        <w:rPr>
          <w:color w:val="000000" w:themeColor="text1"/>
          <w:spacing w:val="3"/>
          <w:lang w:val="de-DE"/>
        </w:rPr>
        <w:t>Vollständig und endgültig in Kraft treten kann das Abkommen erst, wenn es von allen EU-Mitgliedstaaten ratifiziert wurde. Die vorläufige Anwendung durfte nur Bereiche erfassen, die unstreitig in die EU-Zuständigkeit fielen. Für die Entscheidungen für den durch die EU besetzten Gemischten CETA-Ausschuss, der das Abkommen fortentwickeln soll, müsse es eine "hinreichende demokratische Rückbindung" geben, also bei wesentlichen Fragen eine Befassung des Bundestages.</w:t>
      </w:r>
    </w:p>
    <w:p w14:paraId="79E00F75" w14:textId="77777777" w:rsidR="0085547A" w:rsidRDefault="0085547A" w:rsidP="0085547A">
      <w:pPr>
        <w:spacing w:after="0" w:line="240" w:lineRule="auto"/>
        <w:jc w:val="both"/>
        <w:rPr>
          <w:rFonts w:ascii="Times New Roman" w:eastAsia="Times New Roman" w:hAnsi="Times New Roman" w:cs="Times New Roman"/>
          <w:color w:val="000000" w:themeColor="text1"/>
          <w:spacing w:val="3"/>
          <w:sz w:val="24"/>
          <w:szCs w:val="24"/>
          <w:lang w:val="de-DE" w:eastAsia="en-GB"/>
        </w:rPr>
      </w:pPr>
      <w:r>
        <w:rPr>
          <w:rFonts w:ascii="Times New Roman" w:eastAsia="Times New Roman" w:hAnsi="Times New Roman" w:cs="Times New Roman"/>
          <w:color w:val="000000" w:themeColor="text1"/>
          <w:spacing w:val="3"/>
          <w:sz w:val="24"/>
          <w:szCs w:val="24"/>
          <w:lang w:val="de-DE" w:eastAsia="en-GB"/>
        </w:rPr>
        <w:t>In Österreich gab es mehrere Petitionen gegen CETA</w:t>
      </w:r>
      <w:r>
        <w:rPr>
          <w:rStyle w:val="FootnoteReference"/>
          <w:rFonts w:ascii="Times New Roman" w:eastAsia="Times New Roman" w:hAnsi="Times New Roman" w:cs="Times New Roman"/>
          <w:color w:val="000000" w:themeColor="text1"/>
          <w:spacing w:val="3"/>
          <w:sz w:val="24"/>
          <w:szCs w:val="24"/>
          <w:lang w:val="de-DE" w:eastAsia="en-GB"/>
        </w:rPr>
        <w:footnoteReference w:id="17"/>
      </w:r>
      <w:r>
        <w:rPr>
          <w:rFonts w:ascii="Times New Roman" w:eastAsia="Times New Roman" w:hAnsi="Times New Roman" w:cs="Times New Roman"/>
          <w:color w:val="000000" w:themeColor="text1"/>
          <w:spacing w:val="3"/>
          <w:sz w:val="24"/>
          <w:szCs w:val="24"/>
          <w:lang w:val="de-DE" w:eastAsia="en-GB"/>
        </w:rPr>
        <w:t>. Das Abkommen wurde aber nie vor den Verfassungsgerichtshof gebracht und schlussendlich von der Republik Österreich 2018 ratifiziert.</w:t>
      </w:r>
      <w:r>
        <w:rPr>
          <w:rStyle w:val="FootnoteReference"/>
          <w:rFonts w:ascii="Times New Roman" w:eastAsia="Times New Roman" w:hAnsi="Times New Roman" w:cs="Times New Roman"/>
          <w:color w:val="000000" w:themeColor="text1"/>
          <w:spacing w:val="3"/>
          <w:sz w:val="24"/>
          <w:szCs w:val="24"/>
          <w:lang w:val="de-DE" w:eastAsia="en-GB"/>
        </w:rPr>
        <w:footnoteReference w:id="18"/>
      </w:r>
    </w:p>
    <w:p w14:paraId="16FDE041" w14:textId="77777777" w:rsidR="00E93293" w:rsidRDefault="00E93293" w:rsidP="0085547A">
      <w:pPr>
        <w:spacing w:after="0" w:line="240" w:lineRule="auto"/>
        <w:jc w:val="both"/>
        <w:rPr>
          <w:rFonts w:ascii="Times New Roman" w:eastAsia="Times New Roman" w:hAnsi="Times New Roman" w:cs="Times New Roman"/>
          <w:color w:val="000000" w:themeColor="text1"/>
          <w:spacing w:val="3"/>
          <w:sz w:val="24"/>
          <w:szCs w:val="24"/>
          <w:lang w:val="de-DE" w:eastAsia="en-GB"/>
        </w:rPr>
      </w:pPr>
    </w:p>
    <w:p w14:paraId="64AC3144" w14:textId="77777777" w:rsidR="00E93293" w:rsidRDefault="00E93293" w:rsidP="0085547A">
      <w:pPr>
        <w:spacing w:after="0" w:line="240" w:lineRule="auto"/>
        <w:jc w:val="both"/>
        <w:rPr>
          <w:rFonts w:ascii="Times New Roman" w:eastAsia="Times New Roman" w:hAnsi="Times New Roman" w:cs="Times New Roman"/>
          <w:color w:val="000000" w:themeColor="text1"/>
          <w:spacing w:val="3"/>
          <w:sz w:val="24"/>
          <w:szCs w:val="24"/>
          <w:lang w:val="de-DE" w:eastAsia="en-GB"/>
        </w:rPr>
      </w:pPr>
    </w:p>
    <w:p w14:paraId="73CBEDEE" w14:textId="77777777" w:rsidR="006C1355" w:rsidRDefault="006C1355" w:rsidP="0085547A">
      <w:pPr>
        <w:spacing w:after="0" w:line="240" w:lineRule="auto"/>
        <w:jc w:val="both"/>
        <w:rPr>
          <w:rFonts w:ascii="Times New Roman" w:eastAsia="Times New Roman" w:hAnsi="Times New Roman" w:cs="Times New Roman"/>
          <w:color w:val="000000" w:themeColor="text1"/>
          <w:spacing w:val="3"/>
          <w:sz w:val="24"/>
          <w:szCs w:val="24"/>
          <w:lang w:val="de-DE" w:eastAsia="en-GB"/>
        </w:rPr>
      </w:pPr>
    </w:p>
    <w:p w14:paraId="36609A8E" w14:textId="3433C4F8" w:rsidR="006C1355" w:rsidRPr="00AD4528" w:rsidRDefault="006C1355" w:rsidP="006C1355">
      <w:pPr>
        <w:pStyle w:val="Heading1"/>
        <w:rPr>
          <w:rFonts w:ascii="Times New Roman" w:eastAsia="Times New Roman" w:hAnsi="Times New Roman" w:cs="Times New Roman"/>
          <w:b/>
          <w:bCs/>
          <w:color w:val="000000" w:themeColor="text1"/>
          <w:sz w:val="24"/>
          <w:szCs w:val="24"/>
          <w:lang w:val="de-DE"/>
        </w:rPr>
      </w:pPr>
      <w:bookmarkStart w:id="3" w:name="_Toc161050723"/>
      <w:r>
        <w:rPr>
          <w:rFonts w:ascii="Times New Roman" w:eastAsia="Times New Roman" w:hAnsi="Times New Roman" w:cs="Times New Roman"/>
          <w:b/>
          <w:bCs/>
          <w:color w:val="000000" w:themeColor="text1"/>
          <w:sz w:val="24"/>
          <w:szCs w:val="24"/>
          <w:lang w:val="de-DE"/>
        </w:rPr>
        <w:t>I</w:t>
      </w:r>
      <w:r w:rsidR="006C7FCC">
        <w:rPr>
          <w:rFonts w:ascii="Times New Roman" w:eastAsia="Times New Roman" w:hAnsi="Times New Roman" w:cs="Times New Roman"/>
          <w:b/>
          <w:bCs/>
          <w:color w:val="000000" w:themeColor="text1"/>
          <w:sz w:val="24"/>
          <w:szCs w:val="24"/>
          <w:lang w:val="de-DE"/>
        </w:rPr>
        <w:t>V</w:t>
      </w:r>
      <w:r w:rsidRPr="00AD4528">
        <w:rPr>
          <w:rFonts w:ascii="Times New Roman" w:eastAsia="Times New Roman" w:hAnsi="Times New Roman" w:cs="Times New Roman"/>
          <w:b/>
          <w:bCs/>
          <w:color w:val="000000" w:themeColor="text1"/>
          <w:sz w:val="24"/>
          <w:szCs w:val="24"/>
          <w:lang w:val="de-DE"/>
        </w:rPr>
        <w:tab/>
        <w:t>EU-Mercosur</w:t>
      </w:r>
      <w:bookmarkEnd w:id="3"/>
    </w:p>
    <w:p w14:paraId="1A9FA4CD" w14:textId="77777777" w:rsidR="00014056" w:rsidRDefault="00014056" w:rsidP="00014056">
      <w:pPr>
        <w:spacing w:after="0" w:line="360" w:lineRule="auto"/>
        <w:jc w:val="both"/>
        <w:rPr>
          <w:rFonts w:ascii="Times New Roman" w:eastAsia="Times New Roman" w:hAnsi="Times New Roman" w:cs="Times New Roman"/>
          <w:color w:val="212121"/>
          <w:sz w:val="24"/>
          <w:szCs w:val="24"/>
          <w:lang w:val="de-DE"/>
        </w:rPr>
      </w:pPr>
    </w:p>
    <w:p w14:paraId="331614A0" w14:textId="5911CAD8" w:rsidR="006C1355" w:rsidRDefault="006C1355" w:rsidP="00014056">
      <w:pPr>
        <w:spacing w:after="0" w:line="240" w:lineRule="auto"/>
        <w:jc w:val="both"/>
        <w:rPr>
          <w:rFonts w:ascii="Times New Roman" w:eastAsia="Times New Roman" w:hAnsi="Times New Roman" w:cs="Times New Roman"/>
          <w:color w:val="212121"/>
          <w:sz w:val="24"/>
          <w:szCs w:val="24"/>
          <w:lang w:val="de-DE"/>
        </w:rPr>
      </w:pPr>
      <w:r w:rsidRPr="00724EDF">
        <w:rPr>
          <w:rFonts w:ascii="Times New Roman" w:eastAsia="Times New Roman" w:hAnsi="Times New Roman" w:cs="Times New Roman"/>
          <w:color w:val="212121"/>
          <w:sz w:val="24"/>
          <w:szCs w:val="24"/>
          <w:lang w:val="de-DE"/>
        </w:rPr>
        <w:t>Am 28. Juni 2019 haben die Europäische Union und die Mercosur-Staaten</w:t>
      </w:r>
      <w:r>
        <w:rPr>
          <w:rStyle w:val="FootnoteReference"/>
          <w:rFonts w:ascii="Times New Roman" w:eastAsia="Times New Roman" w:hAnsi="Times New Roman" w:cs="Times New Roman"/>
          <w:color w:val="212121"/>
          <w:sz w:val="24"/>
          <w:szCs w:val="24"/>
          <w:lang w:val="de-DE"/>
        </w:rPr>
        <w:footnoteReference w:id="19"/>
      </w:r>
      <w:r>
        <w:rPr>
          <w:rFonts w:ascii="Times New Roman" w:eastAsia="Times New Roman" w:hAnsi="Times New Roman" w:cs="Times New Roman"/>
          <w:color w:val="212121"/>
          <w:sz w:val="24"/>
          <w:szCs w:val="24"/>
          <w:lang w:val="de-DE"/>
        </w:rPr>
        <w:t xml:space="preserve"> </w:t>
      </w:r>
      <w:r w:rsidRPr="00724EDF">
        <w:rPr>
          <w:rFonts w:ascii="Times New Roman" w:eastAsia="Times New Roman" w:hAnsi="Times New Roman" w:cs="Times New Roman"/>
          <w:color w:val="212121"/>
          <w:sz w:val="24"/>
          <w:szCs w:val="24"/>
          <w:lang w:val="de-DE"/>
        </w:rPr>
        <w:t>Brasilien, Argentinien, Paraguay und Uruguay eine politische Einigung zu den bereits 2000 begonnenen Verhandlungen zu einem Freihandelsabkommen</w:t>
      </w:r>
      <w:r>
        <w:rPr>
          <w:rFonts w:ascii="Times New Roman" w:eastAsia="Times New Roman" w:hAnsi="Times New Roman" w:cs="Times New Roman"/>
          <w:color w:val="212121"/>
          <w:sz w:val="24"/>
          <w:szCs w:val="24"/>
          <w:lang w:val="de-DE"/>
        </w:rPr>
        <w:t xml:space="preserve">, </w:t>
      </w:r>
      <w:r w:rsidRPr="00724EDF">
        <w:rPr>
          <w:rFonts w:ascii="Times New Roman" w:eastAsia="Times New Roman" w:hAnsi="Times New Roman" w:cs="Times New Roman"/>
          <w:color w:val="212121"/>
          <w:sz w:val="24"/>
          <w:szCs w:val="24"/>
          <w:lang w:val="de-DE"/>
        </w:rPr>
        <w:t>als Teil eines umfassenderen Assoziierungsabkommens</w:t>
      </w:r>
      <w:r>
        <w:rPr>
          <w:rFonts w:ascii="Times New Roman" w:eastAsia="Times New Roman" w:hAnsi="Times New Roman" w:cs="Times New Roman"/>
          <w:color w:val="212121"/>
          <w:sz w:val="24"/>
          <w:szCs w:val="24"/>
          <w:lang w:val="de-DE"/>
        </w:rPr>
        <w:t>,</w:t>
      </w:r>
      <w:r w:rsidRPr="00724EDF">
        <w:rPr>
          <w:rFonts w:ascii="Times New Roman" w:eastAsia="Times New Roman" w:hAnsi="Times New Roman" w:cs="Times New Roman"/>
          <w:color w:val="212121"/>
          <w:sz w:val="24"/>
          <w:szCs w:val="24"/>
          <w:lang w:val="de-DE"/>
        </w:rPr>
        <w:t xml:space="preserve"> erzielt.</w:t>
      </w:r>
      <w:r>
        <w:rPr>
          <w:rFonts w:ascii="Times New Roman" w:eastAsia="Times New Roman" w:hAnsi="Times New Roman" w:cs="Times New Roman"/>
          <w:color w:val="212121"/>
          <w:sz w:val="24"/>
          <w:szCs w:val="24"/>
          <w:lang w:val="de-DE"/>
        </w:rPr>
        <w:t xml:space="preserve"> </w:t>
      </w:r>
      <w:r w:rsidRPr="00724EDF">
        <w:rPr>
          <w:rFonts w:ascii="Times New Roman" w:eastAsia="Times New Roman" w:hAnsi="Times New Roman" w:cs="Times New Roman"/>
          <w:color w:val="212121"/>
          <w:sz w:val="24"/>
          <w:szCs w:val="24"/>
          <w:lang w:val="de-DE"/>
        </w:rPr>
        <w:t xml:space="preserve">Aufgrund der politischen Situation im Brasilien </w:t>
      </w:r>
      <w:r>
        <w:rPr>
          <w:rFonts w:ascii="Times New Roman" w:eastAsia="Times New Roman" w:hAnsi="Times New Roman" w:cs="Times New Roman"/>
          <w:color w:val="212121"/>
          <w:sz w:val="24"/>
          <w:szCs w:val="24"/>
          <w:lang w:val="de-DE"/>
        </w:rPr>
        <w:t xml:space="preserve">bis zur Abwahl </w:t>
      </w:r>
      <w:proofErr w:type="spellStart"/>
      <w:r>
        <w:rPr>
          <w:rFonts w:ascii="Times New Roman" w:eastAsia="Times New Roman" w:hAnsi="Times New Roman" w:cs="Times New Roman"/>
          <w:color w:val="212121"/>
          <w:sz w:val="24"/>
          <w:szCs w:val="24"/>
          <w:lang w:val="de-DE"/>
        </w:rPr>
        <w:t>Bolsonaros</w:t>
      </w:r>
      <w:proofErr w:type="spellEnd"/>
      <w:r>
        <w:rPr>
          <w:rFonts w:ascii="Times New Roman" w:eastAsia="Times New Roman" w:hAnsi="Times New Roman" w:cs="Times New Roman"/>
          <w:color w:val="212121"/>
          <w:sz w:val="24"/>
          <w:szCs w:val="24"/>
          <w:lang w:val="de-DE"/>
        </w:rPr>
        <w:t xml:space="preserve"> </w:t>
      </w:r>
      <w:r w:rsidRPr="00724EDF">
        <w:rPr>
          <w:rFonts w:ascii="Times New Roman" w:eastAsia="Times New Roman" w:hAnsi="Times New Roman" w:cs="Times New Roman"/>
          <w:color w:val="212121"/>
          <w:sz w:val="24"/>
          <w:szCs w:val="24"/>
          <w:lang w:val="de-DE"/>
        </w:rPr>
        <w:t>und der zunehmenden Entwaldung konnte das Abkommen nicht ratifiziert werden.</w:t>
      </w:r>
      <w:r>
        <w:rPr>
          <w:rFonts w:ascii="Times New Roman" w:eastAsia="Times New Roman" w:hAnsi="Times New Roman" w:cs="Times New Roman"/>
          <w:color w:val="212121"/>
          <w:sz w:val="24"/>
          <w:szCs w:val="24"/>
          <w:lang w:val="de-DE"/>
        </w:rPr>
        <w:t xml:space="preserve"> </w:t>
      </w:r>
      <w:r>
        <w:rPr>
          <w:rFonts w:ascii="Times New Roman" w:eastAsia="Times New Roman" w:hAnsi="Times New Roman" w:cs="Times New Roman"/>
          <w:color w:val="242424"/>
          <w:spacing w:val="3"/>
          <w:sz w:val="24"/>
          <w:szCs w:val="24"/>
          <w:lang w:val="de-DE" w:eastAsia="en-GB"/>
        </w:rPr>
        <w:t>E</w:t>
      </w:r>
      <w:r w:rsidRPr="00EF30AD">
        <w:rPr>
          <w:rFonts w:ascii="Times New Roman" w:eastAsia="Times New Roman" w:hAnsi="Times New Roman" w:cs="Times New Roman"/>
          <w:color w:val="242424"/>
          <w:spacing w:val="3"/>
          <w:sz w:val="24"/>
          <w:szCs w:val="24"/>
          <w:lang w:val="de-DE" w:eastAsia="en-GB"/>
        </w:rPr>
        <w:t>s g</w:t>
      </w:r>
      <w:r>
        <w:rPr>
          <w:rFonts w:ascii="Times New Roman" w:eastAsia="Times New Roman" w:hAnsi="Times New Roman" w:cs="Times New Roman"/>
          <w:color w:val="242424"/>
          <w:spacing w:val="3"/>
          <w:sz w:val="24"/>
          <w:szCs w:val="24"/>
          <w:lang w:val="de-DE" w:eastAsia="en-GB"/>
        </w:rPr>
        <w:t>ibt</w:t>
      </w:r>
      <w:r w:rsidRPr="00EF30AD">
        <w:rPr>
          <w:rFonts w:ascii="Times New Roman" w:eastAsia="Times New Roman" w:hAnsi="Times New Roman" w:cs="Times New Roman"/>
          <w:color w:val="242424"/>
          <w:spacing w:val="3"/>
          <w:sz w:val="24"/>
          <w:szCs w:val="24"/>
          <w:lang w:val="de-DE" w:eastAsia="en-GB"/>
        </w:rPr>
        <w:t xml:space="preserve"> </w:t>
      </w:r>
      <w:r>
        <w:rPr>
          <w:rFonts w:ascii="Times New Roman" w:eastAsia="Times New Roman" w:hAnsi="Times New Roman" w:cs="Times New Roman"/>
          <w:color w:val="242424"/>
          <w:spacing w:val="3"/>
          <w:sz w:val="24"/>
          <w:szCs w:val="24"/>
          <w:lang w:val="de-DE" w:eastAsia="en-GB"/>
        </w:rPr>
        <w:t xml:space="preserve">und gab </w:t>
      </w:r>
      <w:r w:rsidRPr="00EF30AD">
        <w:rPr>
          <w:rFonts w:ascii="Times New Roman" w:eastAsia="Times New Roman" w:hAnsi="Times New Roman" w:cs="Times New Roman"/>
          <w:color w:val="242424"/>
          <w:spacing w:val="3"/>
          <w:sz w:val="24"/>
          <w:szCs w:val="24"/>
          <w:lang w:val="de-DE" w:eastAsia="en-GB"/>
        </w:rPr>
        <w:t xml:space="preserve">zahlreiche Bedenken gegen </w:t>
      </w:r>
      <w:r w:rsidR="001D3F76">
        <w:rPr>
          <w:rFonts w:ascii="Times New Roman" w:eastAsia="Times New Roman" w:hAnsi="Times New Roman" w:cs="Times New Roman"/>
          <w:color w:val="242424"/>
          <w:spacing w:val="3"/>
          <w:sz w:val="24"/>
          <w:szCs w:val="24"/>
          <w:lang w:val="de-DE" w:eastAsia="en-GB"/>
        </w:rPr>
        <w:t>das</w:t>
      </w:r>
      <w:r w:rsidRPr="00EF30AD">
        <w:rPr>
          <w:rFonts w:ascii="Times New Roman" w:eastAsia="Times New Roman" w:hAnsi="Times New Roman" w:cs="Times New Roman"/>
          <w:color w:val="242424"/>
          <w:spacing w:val="3"/>
          <w:sz w:val="24"/>
          <w:szCs w:val="24"/>
          <w:lang w:val="de-DE" w:eastAsia="en-GB"/>
        </w:rPr>
        <w:t xml:space="preserve"> </w:t>
      </w:r>
      <w:r>
        <w:rPr>
          <w:rFonts w:ascii="Times New Roman" w:eastAsia="Times New Roman" w:hAnsi="Times New Roman" w:cs="Times New Roman"/>
          <w:color w:val="242424"/>
          <w:spacing w:val="3"/>
          <w:sz w:val="24"/>
          <w:szCs w:val="24"/>
          <w:lang w:val="de-DE" w:eastAsia="en-GB"/>
        </w:rPr>
        <w:t>Ab</w:t>
      </w:r>
      <w:r w:rsidRPr="00EF30AD">
        <w:rPr>
          <w:rFonts w:ascii="Times New Roman" w:eastAsia="Times New Roman" w:hAnsi="Times New Roman" w:cs="Times New Roman"/>
          <w:color w:val="242424"/>
          <w:spacing w:val="3"/>
          <w:sz w:val="24"/>
          <w:szCs w:val="24"/>
          <w:lang w:val="de-DE" w:eastAsia="en-GB"/>
        </w:rPr>
        <w:t>kommen</w:t>
      </w:r>
      <w:r>
        <w:rPr>
          <w:rFonts w:ascii="Times New Roman" w:eastAsia="Times New Roman" w:hAnsi="Times New Roman" w:cs="Times New Roman"/>
          <w:color w:val="242424"/>
          <w:spacing w:val="3"/>
          <w:sz w:val="24"/>
          <w:szCs w:val="24"/>
          <w:lang w:val="de-DE" w:eastAsia="en-GB"/>
        </w:rPr>
        <w:t xml:space="preserve">, insbesondere </w:t>
      </w:r>
      <w:r w:rsidR="00DD3457" w:rsidRPr="00EF30AD">
        <w:rPr>
          <w:rFonts w:ascii="Times New Roman" w:eastAsia="Times New Roman" w:hAnsi="Times New Roman" w:cs="Times New Roman"/>
          <w:color w:val="242424"/>
          <w:spacing w:val="3"/>
          <w:sz w:val="24"/>
          <w:szCs w:val="24"/>
          <w:lang w:val="de-DE" w:eastAsia="en-GB"/>
        </w:rPr>
        <w:t xml:space="preserve">seitens </w:t>
      </w:r>
      <w:r w:rsidR="00DD3457">
        <w:rPr>
          <w:rFonts w:ascii="Times New Roman" w:eastAsia="Times New Roman" w:hAnsi="Times New Roman" w:cs="Times New Roman"/>
          <w:color w:val="242424"/>
          <w:spacing w:val="3"/>
          <w:sz w:val="24"/>
          <w:szCs w:val="24"/>
          <w:lang w:val="de-DE" w:eastAsia="en-GB"/>
        </w:rPr>
        <w:t>Frankreichs</w:t>
      </w:r>
      <w:r w:rsidR="001D3F76">
        <w:rPr>
          <w:rFonts w:ascii="Times New Roman" w:eastAsia="Times New Roman" w:hAnsi="Times New Roman" w:cs="Times New Roman"/>
          <w:color w:val="242424"/>
          <w:spacing w:val="3"/>
          <w:sz w:val="24"/>
          <w:szCs w:val="24"/>
          <w:lang w:val="de-DE" w:eastAsia="en-GB"/>
        </w:rPr>
        <w:t xml:space="preserve">, Belgiens, der </w:t>
      </w:r>
      <w:r w:rsidR="00E501B1">
        <w:rPr>
          <w:rFonts w:ascii="Times New Roman" w:eastAsia="Times New Roman" w:hAnsi="Times New Roman" w:cs="Times New Roman"/>
          <w:color w:val="242424"/>
          <w:spacing w:val="3"/>
          <w:sz w:val="24"/>
          <w:szCs w:val="24"/>
          <w:lang w:val="de-DE" w:eastAsia="en-GB"/>
        </w:rPr>
        <w:t>Niederlande</w:t>
      </w:r>
      <w:r w:rsidR="007E2A71">
        <w:rPr>
          <w:rFonts w:ascii="Times New Roman" w:eastAsia="Times New Roman" w:hAnsi="Times New Roman" w:cs="Times New Roman"/>
          <w:color w:val="242424"/>
          <w:spacing w:val="3"/>
          <w:sz w:val="24"/>
          <w:szCs w:val="24"/>
          <w:lang w:val="de-DE" w:eastAsia="en-GB"/>
        </w:rPr>
        <w:t xml:space="preserve"> und seitens </w:t>
      </w:r>
      <w:r w:rsidRPr="00EF30AD">
        <w:rPr>
          <w:rFonts w:ascii="Times New Roman" w:eastAsia="Times New Roman" w:hAnsi="Times New Roman" w:cs="Times New Roman"/>
          <w:color w:val="242424"/>
          <w:spacing w:val="3"/>
          <w:sz w:val="24"/>
          <w:szCs w:val="24"/>
          <w:lang w:val="de-DE" w:eastAsia="en-GB"/>
        </w:rPr>
        <w:t xml:space="preserve">der Gewerkschaften </w:t>
      </w:r>
      <w:r>
        <w:rPr>
          <w:rFonts w:ascii="Times New Roman" w:eastAsia="Times New Roman" w:hAnsi="Times New Roman" w:cs="Times New Roman"/>
          <w:color w:val="242424"/>
          <w:spacing w:val="3"/>
          <w:sz w:val="24"/>
          <w:szCs w:val="24"/>
          <w:lang w:val="de-DE" w:eastAsia="en-GB"/>
        </w:rPr>
        <w:t xml:space="preserve">und Grünen </w:t>
      </w:r>
      <w:r w:rsidRPr="00EF30AD">
        <w:rPr>
          <w:rFonts w:ascii="Times New Roman" w:eastAsia="Times New Roman" w:hAnsi="Times New Roman" w:cs="Times New Roman"/>
          <w:color w:val="242424"/>
          <w:spacing w:val="3"/>
          <w:sz w:val="24"/>
          <w:szCs w:val="24"/>
          <w:lang w:val="de-DE" w:eastAsia="en-GB"/>
        </w:rPr>
        <w:t>in Deutschland</w:t>
      </w:r>
      <w:r>
        <w:rPr>
          <w:rFonts w:ascii="Times New Roman" w:eastAsia="Times New Roman" w:hAnsi="Times New Roman" w:cs="Times New Roman"/>
          <w:color w:val="242424"/>
          <w:spacing w:val="3"/>
          <w:sz w:val="24"/>
          <w:szCs w:val="24"/>
          <w:lang w:val="de-DE" w:eastAsia="en-GB"/>
        </w:rPr>
        <w:t xml:space="preserve"> und Österreich. </w:t>
      </w:r>
      <w:r>
        <w:rPr>
          <w:rFonts w:ascii="Times New Roman" w:eastAsia="Times New Roman" w:hAnsi="Times New Roman" w:cs="Times New Roman"/>
          <w:sz w:val="24"/>
          <w:szCs w:val="24"/>
          <w:lang w:val="de-DE"/>
        </w:rPr>
        <w:t>Eine</w:t>
      </w:r>
      <w:r w:rsidRPr="00724EDF">
        <w:rPr>
          <w:rFonts w:ascii="Times New Roman" w:eastAsia="Times New Roman" w:hAnsi="Times New Roman" w:cs="Times New Roman"/>
          <w:sz w:val="24"/>
          <w:szCs w:val="24"/>
          <w:lang w:val="de-DE"/>
        </w:rPr>
        <w:t xml:space="preserve"> Studie</w:t>
      </w:r>
      <w:r>
        <w:rPr>
          <w:rFonts w:ascii="Times New Roman" w:eastAsia="Times New Roman" w:hAnsi="Times New Roman" w:cs="Times New Roman"/>
          <w:sz w:val="24"/>
          <w:szCs w:val="24"/>
          <w:lang w:val="de-DE"/>
        </w:rPr>
        <w:t xml:space="preserve"> der österreichischen Arbeiterkammer präsentierte</w:t>
      </w:r>
      <w:r w:rsidRPr="00724EDF">
        <w:rPr>
          <w:rFonts w:ascii="Times New Roman" w:eastAsia="Times New Roman" w:hAnsi="Times New Roman" w:cs="Times New Roman"/>
          <w:sz w:val="24"/>
          <w:szCs w:val="24"/>
          <w:lang w:val="de-DE"/>
        </w:rPr>
        <w:t xml:space="preserve"> soziale und ökologische Risiken</w:t>
      </w:r>
      <w:r w:rsidR="007E2A71">
        <w:rPr>
          <w:rStyle w:val="FootnoteReference"/>
          <w:rFonts w:ascii="Times New Roman" w:eastAsia="Times New Roman" w:hAnsi="Times New Roman" w:cs="Times New Roman"/>
          <w:sz w:val="24"/>
          <w:szCs w:val="24"/>
          <w:lang w:val="de-DE"/>
        </w:rPr>
        <w:footnoteReference w:id="20"/>
      </w:r>
      <w:r w:rsidR="007E2A71">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Die</w:t>
      </w:r>
      <w:r w:rsidRPr="00724EDF">
        <w:rPr>
          <w:rFonts w:ascii="Times New Roman" w:eastAsia="Times New Roman" w:hAnsi="Times New Roman" w:cs="Times New Roman"/>
          <w:sz w:val="24"/>
          <w:szCs w:val="24"/>
          <w:lang w:val="de-DE"/>
        </w:rPr>
        <w:t xml:space="preserve"> Gründe, warum die </w:t>
      </w:r>
      <w:r>
        <w:rPr>
          <w:rFonts w:ascii="Times New Roman" w:eastAsia="Times New Roman" w:hAnsi="Times New Roman" w:cs="Times New Roman"/>
          <w:sz w:val="24"/>
          <w:szCs w:val="24"/>
          <w:lang w:val="de-DE"/>
        </w:rPr>
        <w:t>österreichische Bundesarbeiterkammer</w:t>
      </w:r>
      <w:r>
        <w:rPr>
          <w:rStyle w:val="FootnoteReference"/>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 </w:t>
      </w:r>
      <w:r w:rsidRPr="00724EDF">
        <w:rPr>
          <w:rFonts w:ascii="Times New Roman" w:eastAsia="Times New Roman" w:hAnsi="Times New Roman" w:cs="Times New Roman"/>
          <w:sz w:val="24"/>
          <w:szCs w:val="24"/>
          <w:lang w:val="de-DE"/>
        </w:rPr>
        <w:t>Mercosur ablehnt</w:t>
      </w:r>
      <w:r>
        <w:rPr>
          <w:rFonts w:ascii="Times New Roman" w:eastAsia="Times New Roman" w:hAnsi="Times New Roman" w:cs="Times New Roman"/>
          <w:sz w:val="24"/>
          <w:szCs w:val="24"/>
          <w:lang w:val="de-DE"/>
        </w:rPr>
        <w:t xml:space="preserve">, sind wie folgt: </w:t>
      </w:r>
      <w:r w:rsidRPr="00724EDF">
        <w:rPr>
          <w:rFonts w:ascii="Times New Roman" w:eastAsia="Times New Roman" w:hAnsi="Times New Roman" w:cs="Times New Roman"/>
          <w:sz w:val="24"/>
          <w:szCs w:val="24"/>
          <w:lang w:val="de-DE"/>
        </w:rPr>
        <w:t>Der Internationale Gewerkschaftsbund zähl</w:t>
      </w:r>
      <w:r>
        <w:rPr>
          <w:rFonts w:ascii="Times New Roman" w:eastAsia="Times New Roman" w:hAnsi="Times New Roman" w:cs="Times New Roman"/>
          <w:sz w:val="24"/>
          <w:szCs w:val="24"/>
          <w:lang w:val="de-DE"/>
        </w:rPr>
        <w:t xml:space="preserve">e </w:t>
      </w:r>
      <w:r w:rsidRPr="00724EDF">
        <w:rPr>
          <w:rFonts w:ascii="Times New Roman" w:eastAsia="Times New Roman" w:hAnsi="Times New Roman" w:cs="Times New Roman"/>
          <w:sz w:val="24"/>
          <w:szCs w:val="24"/>
          <w:lang w:val="de-DE"/>
        </w:rPr>
        <w:t xml:space="preserve">Brasilien zu den </w:t>
      </w:r>
      <w:r>
        <w:rPr>
          <w:rFonts w:ascii="Times New Roman" w:eastAsia="Times New Roman" w:hAnsi="Times New Roman" w:cs="Times New Roman"/>
          <w:sz w:val="24"/>
          <w:szCs w:val="24"/>
          <w:lang w:val="de-DE"/>
        </w:rPr>
        <w:t>zehn</w:t>
      </w:r>
      <w:r w:rsidRPr="00724EDF">
        <w:rPr>
          <w:rFonts w:ascii="Times New Roman" w:eastAsia="Times New Roman" w:hAnsi="Times New Roman" w:cs="Times New Roman"/>
          <w:sz w:val="24"/>
          <w:szCs w:val="24"/>
          <w:lang w:val="de-DE"/>
        </w:rPr>
        <w:t xml:space="preserve"> Ländern weltweit mit </w:t>
      </w:r>
      <w:r>
        <w:rPr>
          <w:rFonts w:ascii="Times New Roman" w:eastAsia="Times New Roman" w:hAnsi="Times New Roman" w:cs="Times New Roman"/>
          <w:sz w:val="24"/>
          <w:szCs w:val="24"/>
          <w:lang w:val="de-DE"/>
        </w:rPr>
        <w:t xml:space="preserve">den </w:t>
      </w:r>
      <w:r w:rsidRPr="00724EDF">
        <w:rPr>
          <w:rFonts w:ascii="Times New Roman" w:eastAsia="Times New Roman" w:hAnsi="Times New Roman" w:cs="Times New Roman"/>
          <w:sz w:val="24"/>
          <w:szCs w:val="24"/>
          <w:lang w:val="de-DE"/>
        </w:rPr>
        <w:t>schlimmsten Arbeitsbedingungen</w:t>
      </w:r>
      <w:r>
        <w:rPr>
          <w:rFonts w:ascii="Times New Roman" w:eastAsia="Times New Roman" w:hAnsi="Times New Roman" w:cs="Times New Roman"/>
          <w:sz w:val="24"/>
          <w:szCs w:val="24"/>
          <w:lang w:val="de-DE"/>
        </w:rPr>
        <w:t xml:space="preserve">. </w:t>
      </w:r>
      <w:r w:rsidRPr="00724EDF">
        <w:rPr>
          <w:rFonts w:ascii="Times New Roman" w:eastAsia="Times New Roman" w:hAnsi="Times New Roman" w:cs="Times New Roman"/>
          <w:sz w:val="24"/>
          <w:szCs w:val="24"/>
          <w:lang w:val="de-DE"/>
        </w:rPr>
        <w:t xml:space="preserve">Gerade im Falle </w:t>
      </w:r>
      <w:r>
        <w:rPr>
          <w:rFonts w:ascii="Times New Roman" w:eastAsia="Times New Roman" w:hAnsi="Times New Roman" w:cs="Times New Roman"/>
          <w:sz w:val="24"/>
          <w:szCs w:val="24"/>
          <w:lang w:val="de-DE"/>
        </w:rPr>
        <w:t>von</w:t>
      </w:r>
      <w:r w:rsidRPr="00724EDF">
        <w:rPr>
          <w:rFonts w:ascii="Times New Roman" w:eastAsia="Times New Roman" w:hAnsi="Times New Roman" w:cs="Times New Roman"/>
          <w:sz w:val="24"/>
          <w:szCs w:val="24"/>
          <w:lang w:val="de-DE"/>
        </w:rPr>
        <w:t xml:space="preserve"> M</w:t>
      </w:r>
      <w:r>
        <w:rPr>
          <w:rFonts w:ascii="Times New Roman" w:eastAsia="Times New Roman" w:hAnsi="Times New Roman" w:cs="Times New Roman"/>
          <w:sz w:val="24"/>
          <w:szCs w:val="24"/>
          <w:lang w:val="de-DE"/>
        </w:rPr>
        <w:t>ercosur</w:t>
      </w:r>
      <w:r w:rsidRPr="00724EDF">
        <w:rPr>
          <w:rFonts w:ascii="Times New Roman" w:eastAsia="Times New Roman" w:hAnsi="Times New Roman" w:cs="Times New Roman"/>
          <w:sz w:val="24"/>
          <w:szCs w:val="24"/>
          <w:lang w:val="de-DE"/>
        </w:rPr>
        <w:t xml:space="preserve"> wären effektive soziale Standards wichtig, da es in der Land- und Lebensmittelwirtschaft zu ausbeuterischen Arbeitsbedingungen komm</w:t>
      </w:r>
      <w:r>
        <w:rPr>
          <w:rFonts w:ascii="Times New Roman" w:eastAsia="Times New Roman" w:hAnsi="Times New Roman" w:cs="Times New Roman"/>
          <w:sz w:val="24"/>
          <w:szCs w:val="24"/>
          <w:lang w:val="de-DE"/>
        </w:rPr>
        <w:t xml:space="preserve">en würde. </w:t>
      </w:r>
      <w:r w:rsidRPr="00724EDF">
        <w:rPr>
          <w:rFonts w:ascii="Times New Roman" w:eastAsia="Times New Roman" w:hAnsi="Times New Roman" w:cs="Times New Roman"/>
          <w:sz w:val="24"/>
          <w:szCs w:val="24"/>
          <w:lang w:val="de-DE"/>
        </w:rPr>
        <w:t>Darüber hinaus w</w:t>
      </w:r>
      <w:r>
        <w:rPr>
          <w:rFonts w:ascii="Times New Roman" w:eastAsia="Times New Roman" w:hAnsi="Times New Roman" w:cs="Times New Roman"/>
          <w:sz w:val="24"/>
          <w:szCs w:val="24"/>
          <w:lang w:val="de-DE"/>
        </w:rPr>
        <w:t>ü</w:t>
      </w:r>
      <w:r w:rsidRPr="00724EDF">
        <w:rPr>
          <w:rFonts w:ascii="Times New Roman" w:eastAsia="Times New Roman" w:hAnsi="Times New Roman" w:cs="Times New Roman"/>
          <w:sz w:val="24"/>
          <w:szCs w:val="24"/>
          <w:lang w:val="de-DE"/>
        </w:rPr>
        <w:t>rd</w:t>
      </w:r>
      <w:r>
        <w:rPr>
          <w:rFonts w:ascii="Times New Roman" w:eastAsia="Times New Roman" w:hAnsi="Times New Roman" w:cs="Times New Roman"/>
          <w:sz w:val="24"/>
          <w:szCs w:val="24"/>
          <w:lang w:val="de-DE"/>
        </w:rPr>
        <w:t>e</w:t>
      </w:r>
      <w:r w:rsidRPr="00724EDF">
        <w:rPr>
          <w:rFonts w:ascii="Times New Roman" w:eastAsia="Times New Roman" w:hAnsi="Times New Roman" w:cs="Times New Roman"/>
          <w:sz w:val="24"/>
          <w:szCs w:val="24"/>
          <w:lang w:val="de-DE"/>
        </w:rPr>
        <w:t xml:space="preserve"> der Arbeits- und Gesundheitsschutz in Produktion und Verarbeitung teilweise völlig ignoriert</w:t>
      </w:r>
      <w:r>
        <w:rPr>
          <w:rFonts w:ascii="Times New Roman" w:eastAsia="Times New Roman" w:hAnsi="Times New Roman" w:cs="Times New Roman"/>
          <w:sz w:val="24"/>
          <w:szCs w:val="24"/>
          <w:lang w:val="de-DE"/>
        </w:rPr>
        <w:t xml:space="preserve"> werden</w:t>
      </w:r>
      <w:r w:rsidRPr="00724EDF">
        <w:rPr>
          <w:rFonts w:ascii="Times New Roman" w:eastAsia="Times New Roman" w:hAnsi="Times New Roman" w:cs="Times New Roman"/>
          <w:sz w:val="24"/>
          <w:szCs w:val="24"/>
          <w:lang w:val="de-DE"/>
        </w:rPr>
        <w:t>. Menschenrechte und Umweltschutz w</w:t>
      </w:r>
      <w:r>
        <w:rPr>
          <w:rFonts w:ascii="Times New Roman" w:eastAsia="Times New Roman" w:hAnsi="Times New Roman" w:cs="Times New Roman"/>
          <w:sz w:val="24"/>
          <w:szCs w:val="24"/>
          <w:lang w:val="de-DE"/>
        </w:rPr>
        <w:t>ü</w:t>
      </w:r>
      <w:r w:rsidRPr="00724EDF">
        <w:rPr>
          <w:rFonts w:ascii="Times New Roman" w:eastAsia="Times New Roman" w:hAnsi="Times New Roman" w:cs="Times New Roman"/>
          <w:sz w:val="24"/>
          <w:szCs w:val="24"/>
          <w:lang w:val="de-DE"/>
        </w:rPr>
        <w:t>rden mit Füßen getreten</w:t>
      </w:r>
      <w:r>
        <w:rPr>
          <w:rFonts w:ascii="Times New Roman" w:eastAsia="Times New Roman" w:hAnsi="Times New Roman" w:cs="Times New Roman"/>
          <w:sz w:val="24"/>
          <w:szCs w:val="24"/>
          <w:lang w:val="de-DE"/>
        </w:rPr>
        <w:t xml:space="preserve"> werden</w:t>
      </w:r>
      <w:r>
        <w:rPr>
          <w:rStyle w:val="FootnoteReference"/>
          <w:rFonts w:ascii="Times New Roman" w:eastAsia="Times New Roman" w:hAnsi="Times New Roman" w:cs="Times New Roman"/>
          <w:sz w:val="24"/>
          <w:szCs w:val="24"/>
          <w:lang w:val="de-DE"/>
        </w:rPr>
        <w:footnoteReference w:id="21"/>
      </w:r>
      <w:r w:rsidR="007E2A71">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 </w:t>
      </w:r>
      <w:r w:rsidRPr="00724EDF">
        <w:rPr>
          <w:rFonts w:ascii="Times New Roman" w:eastAsia="Times New Roman" w:hAnsi="Times New Roman" w:cs="Times New Roman"/>
          <w:sz w:val="24"/>
          <w:szCs w:val="24"/>
          <w:lang w:val="de-DE"/>
        </w:rPr>
        <w:t xml:space="preserve">Die </w:t>
      </w:r>
      <w:r>
        <w:rPr>
          <w:rFonts w:ascii="Times New Roman" w:eastAsia="Times New Roman" w:hAnsi="Times New Roman" w:cs="Times New Roman"/>
          <w:sz w:val="24"/>
          <w:szCs w:val="24"/>
          <w:lang w:val="de-DE"/>
        </w:rPr>
        <w:t xml:space="preserve">österreichische </w:t>
      </w:r>
      <w:r w:rsidRPr="00724EDF">
        <w:rPr>
          <w:rFonts w:ascii="Times New Roman" w:eastAsia="Times New Roman" w:hAnsi="Times New Roman" w:cs="Times New Roman"/>
          <w:sz w:val="24"/>
          <w:szCs w:val="24"/>
          <w:lang w:val="de-DE"/>
        </w:rPr>
        <w:t>A</w:t>
      </w:r>
      <w:r>
        <w:rPr>
          <w:rFonts w:ascii="Times New Roman" w:eastAsia="Times New Roman" w:hAnsi="Times New Roman" w:cs="Times New Roman"/>
          <w:sz w:val="24"/>
          <w:szCs w:val="24"/>
          <w:lang w:val="de-DE"/>
        </w:rPr>
        <w:t>rbeiterkammer</w:t>
      </w:r>
      <w:r>
        <w:rPr>
          <w:rStyle w:val="FootnoteReference"/>
          <w:rFonts w:ascii="Times New Roman" w:eastAsia="Times New Roman" w:hAnsi="Times New Roman" w:cs="Times New Roman"/>
          <w:sz w:val="24"/>
          <w:szCs w:val="24"/>
          <w:lang w:val="de-DE"/>
        </w:rPr>
        <w:footnoteReference w:id="22"/>
      </w:r>
      <w:r>
        <w:rPr>
          <w:rFonts w:ascii="Times New Roman" w:eastAsia="Times New Roman" w:hAnsi="Times New Roman" w:cs="Times New Roman"/>
          <w:sz w:val="24"/>
          <w:szCs w:val="24"/>
          <w:lang w:val="de-DE"/>
        </w:rPr>
        <w:t xml:space="preserve"> </w:t>
      </w:r>
      <w:r w:rsidRPr="00724EDF">
        <w:rPr>
          <w:rFonts w:ascii="Times New Roman" w:eastAsia="Times New Roman" w:hAnsi="Times New Roman" w:cs="Times New Roman"/>
          <w:sz w:val="24"/>
          <w:szCs w:val="24"/>
          <w:lang w:val="de-DE"/>
        </w:rPr>
        <w:t>befürchtet</w:t>
      </w:r>
      <w:r>
        <w:rPr>
          <w:rFonts w:ascii="Times New Roman" w:eastAsia="Times New Roman" w:hAnsi="Times New Roman" w:cs="Times New Roman"/>
          <w:sz w:val="24"/>
          <w:szCs w:val="24"/>
          <w:lang w:val="de-DE"/>
        </w:rPr>
        <w:t xml:space="preserve"> weiters</w:t>
      </w:r>
      <w:r w:rsidRPr="00724EDF">
        <w:rPr>
          <w:rFonts w:ascii="Times New Roman" w:eastAsia="Times New Roman" w:hAnsi="Times New Roman" w:cs="Times New Roman"/>
          <w:sz w:val="24"/>
          <w:szCs w:val="24"/>
          <w:lang w:val="de-DE"/>
        </w:rPr>
        <w:t>, dass mit dem M</w:t>
      </w:r>
      <w:r>
        <w:rPr>
          <w:rFonts w:ascii="Times New Roman" w:eastAsia="Times New Roman" w:hAnsi="Times New Roman" w:cs="Times New Roman"/>
          <w:sz w:val="24"/>
          <w:szCs w:val="24"/>
          <w:lang w:val="de-DE"/>
        </w:rPr>
        <w:t>ercosur</w:t>
      </w:r>
      <w:r w:rsidRPr="00724EDF">
        <w:rPr>
          <w:rFonts w:ascii="Times New Roman" w:eastAsia="Times New Roman" w:hAnsi="Times New Roman" w:cs="Times New Roman"/>
          <w:sz w:val="24"/>
          <w:szCs w:val="24"/>
          <w:lang w:val="de-DE"/>
        </w:rPr>
        <w:t>-Abkommen wichtige Schutzstandards in der Land- und Lebensmittelwirtschaft unterlaufen w</w:t>
      </w:r>
      <w:r>
        <w:rPr>
          <w:rFonts w:ascii="Times New Roman" w:eastAsia="Times New Roman" w:hAnsi="Times New Roman" w:cs="Times New Roman"/>
          <w:sz w:val="24"/>
          <w:szCs w:val="24"/>
          <w:lang w:val="de-DE"/>
        </w:rPr>
        <w:t>ü</w:t>
      </w:r>
      <w:r w:rsidRPr="00724EDF">
        <w:rPr>
          <w:rFonts w:ascii="Times New Roman" w:eastAsia="Times New Roman" w:hAnsi="Times New Roman" w:cs="Times New Roman"/>
          <w:sz w:val="24"/>
          <w:szCs w:val="24"/>
          <w:lang w:val="de-DE"/>
        </w:rPr>
        <w:t>rden. Der massiv</w:t>
      </w:r>
      <w:r>
        <w:rPr>
          <w:rFonts w:ascii="Times New Roman" w:eastAsia="Times New Roman" w:hAnsi="Times New Roman" w:cs="Times New Roman"/>
          <w:sz w:val="24"/>
          <w:szCs w:val="24"/>
          <w:lang w:val="de-DE"/>
        </w:rPr>
        <w:t>e</w:t>
      </w:r>
      <w:r w:rsidRPr="00724EDF">
        <w:rPr>
          <w:rFonts w:ascii="Times New Roman" w:eastAsia="Times New Roman" w:hAnsi="Times New Roman" w:cs="Times New Roman"/>
          <w:sz w:val="24"/>
          <w:szCs w:val="24"/>
          <w:lang w:val="de-DE"/>
        </w:rPr>
        <w:t xml:space="preserve"> Einsatz von Pestiziden und Wachstumshormonen in der Land- und Viehwirtschaft in Brasilien und Argentinien schädig</w:t>
      </w:r>
      <w:r>
        <w:rPr>
          <w:rFonts w:ascii="Times New Roman" w:eastAsia="Times New Roman" w:hAnsi="Times New Roman" w:cs="Times New Roman"/>
          <w:sz w:val="24"/>
          <w:szCs w:val="24"/>
          <w:lang w:val="de-DE"/>
        </w:rPr>
        <w:t>e</w:t>
      </w:r>
      <w:r w:rsidRPr="00724EDF">
        <w:rPr>
          <w:rFonts w:ascii="Times New Roman" w:eastAsia="Times New Roman" w:hAnsi="Times New Roman" w:cs="Times New Roman"/>
          <w:sz w:val="24"/>
          <w:szCs w:val="24"/>
          <w:lang w:val="de-DE"/>
        </w:rPr>
        <w:t xml:space="preserve"> ArbeitnehmerInnen und Umwelt nachhaltig. Diese Produktionsmethoden h</w:t>
      </w:r>
      <w:r>
        <w:rPr>
          <w:rFonts w:ascii="Times New Roman" w:eastAsia="Times New Roman" w:hAnsi="Times New Roman" w:cs="Times New Roman"/>
          <w:sz w:val="24"/>
          <w:szCs w:val="24"/>
          <w:lang w:val="de-DE"/>
        </w:rPr>
        <w:t>ätt</w:t>
      </w:r>
      <w:r w:rsidRPr="00724EDF">
        <w:rPr>
          <w:rFonts w:ascii="Times New Roman" w:eastAsia="Times New Roman" w:hAnsi="Times New Roman" w:cs="Times New Roman"/>
          <w:sz w:val="24"/>
          <w:szCs w:val="24"/>
          <w:lang w:val="de-DE"/>
        </w:rPr>
        <w:t xml:space="preserve">en auch </w:t>
      </w:r>
      <w:r>
        <w:rPr>
          <w:rFonts w:ascii="Times New Roman" w:eastAsia="Times New Roman" w:hAnsi="Times New Roman" w:cs="Times New Roman"/>
          <w:sz w:val="24"/>
          <w:szCs w:val="24"/>
          <w:lang w:val="de-DE"/>
        </w:rPr>
        <w:t>in Europa</w:t>
      </w:r>
      <w:r w:rsidRPr="00724EDF">
        <w:rPr>
          <w:rFonts w:ascii="Times New Roman" w:eastAsia="Times New Roman" w:hAnsi="Times New Roman" w:cs="Times New Roman"/>
          <w:sz w:val="24"/>
          <w:szCs w:val="24"/>
          <w:lang w:val="de-DE"/>
        </w:rPr>
        <w:t xml:space="preserve"> negative Folgen</w:t>
      </w:r>
      <w:r>
        <w:rPr>
          <w:rStyle w:val="FootnoteReference"/>
          <w:rFonts w:ascii="Times New Roman" w:eastAsia="Times New Roman" w:hAnsi="Times New Roman" w:cs="Times New Roman"/>
          <w:sz w:val="24"/>
          <w:szCs w:val="24"/>
          <w:lang w:val="de-DE"/>
        </w:rPr>
        <w:footnoteReference w:id="23"/>
      </w:r>
      <w:r w:rsidRPr="00724EDF">
        <w:rPr>
          <w:rFonts w:ascii="Times New Roman" w:eastAsia="Times New Roman" w:hAnsi="Times New Roman" w:cs="Times New Roman"/>
          <w:sz w:val="24"/>
          <w:szCs w:val="24"/>
          <w:lang w:val="de-DE"/>
        </w:rPr>
        <w:t xml:space="preserve">. Sie </w:t>
      </w:r>
      <w:r>
        <w:rPr>
          <w:rFonts w:ascii="Times New Roman" w:eastAsia="Times New Roman" w:hAnsi="Times New Roman" w:cs="Times New Roman"/>
          <w:sz w:val="24"/>
          <w:szCs w:val="24"/>
          <w:lang w:val="de-DE"/>
        </w:rPr>
        <w:t xml:space="preserve">würden </w:t>
      </w:r>
      <w:r w:rsidRPr="00724EDF">
        <w:rPr>
          <w:rFonts w:ascii="Times New Roman" w:eastAsia="Times New Roman" w:hAnsi="Times New Roman" w:cs="Times New Roman"/>
          <w:sz w:val="24"/>
          <w:szCs w:val="24"/>
          <w:lang w:val="de-DE"/>
        </w:rPr>
        <w:t>zu einem unfairen Preis- und Standardwettbewerb nach unten</w:t>
      </w:r>
      <w:r w:rsidRPr="00D1794D">
        <w:rPr>
          <w:rFonts w:ascii="Times New Roman" w:eastAsia="Times New Roman" w:hAnsi="Times New Roman" w:cs="Times New Roman"/>
          <w:sz w:val="24"/>
          <w:szCs w:val="24"/>
          <w:lang w:val="de-DE"/>
        </w:rPr>
        <w:t xml:space="preserve"> </w:t>
      </w:r>
      <w:r w:rsidRPr="00724EDF">
        <w:rPr>
          <w:rFonts w:ascii="Times New Roman" w:eastAsia="Times New Roman" w:hAnsi="Times New Roman" w:cs="Times New Roman"/>
          <w:sz w:val="24"/>
          <w:szCs w:val="24"/>
          <w:lang w:val="de-DE"/>
        </w:rPr>
        <w:t>führen.</w:t>
      </w:r>
      <w:r>
        <w:rPr>
          <w:rFonts w:ascii="Times New Roman" w:eastAsia="Times New Roman" w:hAnsi="Times New Roman" w:cs="Times New Roman"/>
          <w:sz w:val="24"/>
          <w:szCs w:val="24"/>
          <w:lang w:val="de-DE"/>
        </w:rPr>
        <w:t xml:space="preserve"> </w:t>
      </w:r>
      <w:r w:rsidRPr="00724EDF">
        <w:rPr>
          <w:rFonts w:ascii="Times New Roman" w:eastAsia="Times New Roman" w:hAnsi="Times New Roman" w:cs="Times New Roman"/>
          <w:sz w:val="24"/>
          <w:szCs w:val="24"/>
          <w:lang w:val="de-DE"/>
        </w:rPr>
        <w:t>Das Nachhaltigkeitskapitel des vorgeschlagenen Handelsabkommens enth</w:t>
      </w:r>
      <w:r>
        <w:rPr>
          <w:rFonts w:ascii="Times New Roman" w:eastAsia="Times New Roman" w:hAnsi="Times New Roman" w:cs="Times New Roman"/>
          <w:sz w:val="24"/>
          <w:szCs w:val="24"/>
          <w:lang w:val="de-DE"/>
        </w:rPr>
        <w:t>ielt</w:t>
      </w:r>
      <w:r w:rsidR="007E2A71">
        <w:rPr>
          <w:rFonts w:ascii="Times New Roman" w:eastAsia="Times New Roman" w:hAnsi="Times New Roman" w:cs="Times New Roman"/>
          <w:sz w:val="24"/>
          <w:szCs w:val="24"/>
          <w:lang w:val="de-DE"/>
        </w:rPr>
        <w:t>e</w:t>
      </w:r>
      <w:r w:rsidRPr="00724EDF">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laut der österreichischen Arbeiterkammer </w:t>
      </w:r>
      <w:r w:rsidRPr="00724EDF">
        <w:rPr>
          <w:rFonts w:ascii="Times New Roman" w:eastAsia="Times New Roman" w:hAnsi="Times New Roman" w:cs="Times New Roman"/>
          <w:sz w:val="24"/>
          <w:szCs w:val="24"/>
          <w:lang w:val="de-DE"/>
        </w:rPr>
        <w:t>zwar Bestimmungen zu den internationalen Arbeitsnormen der Internationalen Arbeitsorganisation, zum Pariser Klimaschutzabkommen und zum Vorsorgeprinzip</w:t>
      </w:r>
      <w:r>
        <w:rPr>
          <w:rFonts w:ascii="Times New Roman" w:eastAsia="Times New Roman" w:hAnsi="Times New Roman" w:cs="Times New Roman"/>
          <w:sz w:val="24"/>
          <w:szCs w:val="24"/>
          <w:lang w:val="de-DE"/>
        </w:rPr>
        <w:t>, a</w:t>
      </w:r>
      <w:r w:rsidRPr="00724EDF">
        <w:rPr>
          <w:rFonts w:ascii="Times New Roman" w:eastAsia="Times New Roman" w:hAnsi="Times New Roman" w:cs="Times New Roman"/>
          <w:sz w:val="24"/>
          <w:szCs w:val="24"/>
          <w:lang w:val="de-DE"/>
        </w:rPr>
        <w:t>ber im Gegensatz zu den meisten anderen Bestimmungen des Abkommens s</w:t>
      </w:r>
      <w:r>
        <w:rPr>
          <w:rFonts w:ascii="Times New Roman" w:eastAsia="Times New Roman" w:hAnsi="Times New Roman" w:cs="Times New Roman"/>
          <w:sz w:val="24"/>
          <w:szCs w:val="24"/>
          <w:lang w:val="de-DE"/>
        </w:rPr>
        <w:t>eien</w:t>
      </w:r>
      <w:r w:rsidRPr="00724EDF">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sie </w:t>
      </w:r>
      <w:r w:rsidRPr="00724EDF">
        <w:rPr>
          <w:rFonts w:ascii="Times New Roman" w:eastAsia="Times New Roman" w:hAnsi="Times New Roman" w:cs="Times New Roman"/>
          <w:sz w:val="24"/>
          <w:szCs w:val="24"/>
          <w:lang w:val="de-DE"/>
        </w:rPr>
        <w:t>nicht verbindlich. Die Bestimmungen im Nachhaltigkeitskapitel unterliegen nicht dem Streitbeilegungsverfahren und können nicht sanktioniert werden.</w:t>
      </w:r>
      <w:r>
        <w:rPr>
          <w:rStyle w:val="FootnoteReference"/>
          <w:rFonts w:ascii="Times New Roman" w:eastAsia="Times New Roman" w:hAnsi="Times New Roman" w:cs="Times New Roman"/>
          <w:sz w:val="24"/>
          <w:szCs w:val="24"/>
          <w:lang w:val="de-DE"/>
        </w:rPr>
        <w:footnoteReference w:id="24"/>
      </w:r>
      <w:r w:rsidRPr="00724EDF">
        <w:rPr>
          <w:rFonts w:ascii="Times New Roman" w:eastAsia="Times New Roman" w:hAnsi="Times New Roman" w:cs="Times New Roman"/>
          <w:sz w:val="24"/>
          <w:szCs w:val="24"/>
          <w:lang w:val="de-DE"/>
        </w:rPr>
        <w:t xml:space="preserve"> Damit bli</w:t>
      </w:r>
      <w:r>
        <w:rPr>
          <w:rFonts w:ascii="Times New Roman" w:eastAsia="Times New Roman" w:hAnsi="Times New Roman" w:cs="Times New Roman"/>
          <w:sz w:val="24"/>
          <w:szCs w:val="24"/>
          <w:lang w:val="de-DE"/>
        </w:rPr>
        <w:t>e</w:t>
      </w:r>
      <w:r w:rsidRPr="00724EDF">
        <w:rPr>
          <w:rFonts w:ascii="Times New Roman" w:eastAsia="Times New Roman" w:hAnsi="Times New Roman" w:cs="Times New Roman"/>
          <w:sz w:val="24"/>
          <w:szCs w:val="24"/>
          <w:lang w:val="de-DE"/>
        </w:rPr>
        <w:t>b</w:t>
      </w:r>
      <w:r>
        <w:rPr>
          <w:rFonts w:ascii="Times New Roman" w:eastAsia="Times New Roman" w:hAnsi="Times New Roman" w:cs="Times New Roman"/>
          <w:sz w:val="24"/>
          <w:szCs w:val="24"/>
          <w:lang w:val="de-DE"/>
        </w:rPr>
        <w:t>e</w:t>
      </w:r>
      <w:r w:rsidRPr="00724EDF">
        <w:rPr>
          <w:rFonts w:ascii="Times New Roman" w:eastAsia="Times New Roman" w:hAnsi="Times New Roman" w:cs="Times New Roman"/>
          <w:sz w:val="24"/>
          <w:szCs w:val="24"/>
          <w:lang w:val="de-DE"/>
        </w:rPr>
        <w:t xml:space="preserve"> die Missachtung der wichtigen internationalen Arbeitsstandards der ILO</w:t>
      </w:r>
      <w:r>
        <w:rPr>
          <w:rStyle w:val="FootnoteReference"/>
          <w:rFonts w:ascii="Times New Roman" w:eastAsia="Times New Roman" w:hAnsi="Times New Roman" w:cs="Times New Roman"/>
          <w:sz w:val="24"/>
          <w:szCs w:val="24"/>
          <w:lang w:val="de-DE"/>
        </w:rPr>
        <w:footnoteReference w:id="25"/>
      </w:r>
      <w:r w:rsidRPr="00724EDF">
        <w:rPr>
          <w:rFonts w:ascii="Times New Roman" w:eastAsia="Times New Roman" w:hAnsi="Times New Roman" w:cs="Times New Roman"/>
          <w:sz w:val="24"/>
          <w:szCs w:val="24"/>
          <w:lang w:val="de-DE"/>
        </w:rPr>
        <w:t xml:space="preserve"> und der internationalen Umweltkonventionen weitgehend ohne effektive Konsequenzen</w:t>
      </w:r>
      <w:r>
        <w:rPr>
          <w:rFonts w:ascii="Times New Roman" w:eastAsia="Times New Roman" w:hAnsi="Times New Roman" w:cs="Times New Roman"/>
          <w:sz w:val="24"/>
          <w:szCs w:val="24"/>
          <w:lang w:val="de-DE"/>
        </w:rPr>
        <w:t xml:space="preserve">. </w:t>
      </w:r>
      <w:r w:rsidRPr="00724EDF">
        <w:rPr>
          <w:rFonts w:ascii="Times New Roman" w:eastAsia="Times New Roman" w:hAnsi="Times New Roman" w:cs="Times New Roman"/>
          <w:sz w:val="24"/>
          <w:szCs w:val="24"/>
          <w:lang w:val="de-DE"/>
        </w:rPr>
        <w:t xml:space="preserve">Die EU ist vor allem für </w:t>
      </w:r>
      <w:r w:rsidRPr="00724EDF">
        <w:rPr>
          <w:rFonts w:ascii="Times New Roman" w:eastAsia="Times New Roman" w:hAnsi="Times New Roman" w:cs="Times New Roman"/>
          <w:sz w:val="24"/>
          <w:szCs w:val="24"/>
          <w:lang w:val="de-DE"/>
        </w:rPr>
        <w:lastRenderedPageBreak/>
        <w:t>Soja und Sojaschrot, Rind- und Hühnerfleisch, Mais, Zucker und Ethanol einer der wichtigsten Absatzmärkte</w:t>
      </w:r>
      <w:r>
        <w:rPr>
          <w:rFonts w:ascii="Times New Roman" w:eastAsia="Times New Roman" w:hAnsi="Times New Roman" w:cs="Times New Roman"/>
          <w:sz w:val="24"/>
          <w:szCs w:val="24"/>
          <w:lang w:val="de-DE"/>
        </w:rPr>
        <w:t xml:space="preserve">. </w:t>
      </w:r>
      <w:r w:rsidRPr="00724EDF">
        <w:rPr>
          <w:rFonts w:ascii="Times New Roman" w:eastAsia="Times New Roman" w:hAnsi="Times New Roman" w:cs="Times New Roman"/>
          <w:color w:val="212121"/>
          <w:sz w:val="24"/>
          <w:szCs w:val="24"/>
          <w:lang w:val="de-DE"/>
        </w:rPr>
        <w:t>Für die Importe von Fleisch aus dem M</w:t>
      </w:r>
      <w:r>
        <w:rPr>
          <w:rFonts w:ascii="Times New Roman" w:eastAsia="Times New Roman" w:hAnsi="Times New Roman" w:cs="Times New Roman"/>
          <w:color w:val="212121"/>
          <w:sz w:val="24"/>
          <w:szCs w:val="24"/>
          <w:lang w:val="de-DE"/>
        </w:rPr>
        <w:t>ercosur</w:t>
      </w:r>
      <w:r w:rsidRPr="00724EDF">
        <w:rPr>
          <w:rFonts w:ascii="Times New Roman" w:eastAsia="Times New Roman" w:hAnsi="Times New Roman" w:cs="Times New Roman"/>
          <w:color w:val="212121"/>
          <w:sz w:val="24"/>
          <w:szCs w:val="24"/>
          <w:lang w:val="de-DE"/>
        </w:rPr>
        <w:t xml:space="preserve"> wurden Quoten vereinbart. Das Abkommen erlaubt den Import von 99.000t Rindfleisch, mit einem Zoll von 7,5%.</w:t>
      </w:r>
    </w:p>
    <w:p w14:paraId="71220C33" w14:textId="1BF4A4B7" w:rsidR="006C1355" w:rsidRPr="00F96623" w:rsidRDefault="006C7FCC" w:rsidP="006C1355">
      <w:pPr>
        <w:pStyle w:val="Heading1"/>
        <w:rPr>
          <w:rFonts w:ascii="Times New Roman" w:eastAsia="Times New Roman" w:hAnsi="Times New Roman" w:cs="Times New Roman"/>
          <w:b/>
          <w:bCs/>
          <w:color w:val="000000" w:themeColor="text1"/>
          <w:sz w:val="24"/>
          <w:szCs w:val="24"/>
          <w:lang w:val="de-DE"/>
        </w:rPr>
      </w:pPr>
      <w:bookmarkStart w:id="4" w:name="_Toc161050724"/>
      <w:r>
        <w:rPr>
          <w:rFonts w:ascii="Times New Roman" w:eastAsia="Times New Roman" w:hAnsi="Times New Roman" w:cs="Times New Roman"/>
          <w:b/>
          <w:bCs/>
          <w:color w:val="000000" w:themeColor="text1"/>
          <w:sz w:val="24"/>
          <w:szCs w:val="24"/>
          <w:lang w:val="de-DE"/>
        </w:rPr>
        <w:t>V</w:t>
      </w:r>
      <w:r w:rsidR="006C1355" w:rsidRPr="00F96623">
        <w:rPr>
          <w:rFonts w:ascii="Times New Roman" w:eastAsia="Times New Roman" w:hAnsi="Times New Roman" w:cs="Times New Roman"/>
          <w:b/>
          <w:bCs/>
          <w:color w:val="000000" w:themeColor="text1"/>
          <w:sz w:val="24"/>
          <w:szCs w:val="24"/>
          <w:lang w:val="de-DE"/>
        </w:rPr>
        <w:tab/>
        <w:t>Nachhaltigkeitskriterien und ihre Durchsetzbarkeit</w:t>
      </w:r>
      <w:bookmarkEnd w:id="4"/>
    </w:p>
    <w:p w14:paraId="2B33EC77" w14:textId="77777777" w:rsidR="00FF5184" w:rsidRDefault="00FF5184" w:rsidP="006C1355">
      <w:pPr>
        <w:pStyle w:val="FootnoteText"/>
        <w:jc w:val="both"/>
        <w:rPr>
          <w:rFonts w:ascii="Times New Roman" w:eastAsia="Times New Roman" w:hAnsi="Times New Roman" w:cs="Times New Roman"/>
          <w:sz w:val="24"/>
          <w:szCs w:val="24"/>
          <w:lang w:val="de-DE"/>
        </w:rPr>
      </w:pPr>
    </w:p>
    <w:p w14:paraId="1D38692C" w14:textId="4608C6C2" w:rsidR="00E93293" w:rsidRDefault="006C1355" w:rsidP="006C1355">
      <w:pPr>
        <w:pStyle w:val="FootnoteText"/>
        <w:jc w:val="both"/>
        <w:rPr>
          <w:rFonts w:ascii="Times New Roman" w:eastAsia="Times New Roman" w:hAnsi="Times New Roman" w:cs="Times New Roman"/>
          <w:color w:val="212121"/>
          <w:sz w:val="24"/>
          <w:szCs w:val="24"/>
          <w:lang w:val="de-DE"/>
        </w:rPr>
      </w:pPr>
      <w:r w:rsidRPr="00E965E8">
        <w:rPr>
          <w:rFonts w:ascii="Times New Roman" w:eastAsia="Times New Roman" w:hAnsi="Times New Roman" w:cs="Times New Roman"/>
          <w:sz w:val="24"/>
          <w:szCs w:val="24"/>
          <w:lang w:val="de-DE"/>
        </w:rPr>
        <w:t>Fragen zur Durchsetzbarkeit von Nachhaltigkeitsbestimmungen</w:t>
      </w:r>
      <w:r>
        <w:rPr>
          <w:rFonts w:ascii="Times New Roman" w:eastAsia="Times New Roman" w:hAnsi="Times New Roman" w:cs="Times New Roman"/>
          <w:sz w:val="24"/>
          <w:szCs w:val="24"/>
          <w:lang w:val="de-DE"/>
        </w:rPr>
        <w:t xml:space="preserve"> in Handelsabkommen </w:t>
      </w:r>
      <w:r w:rsidR="007E2A71">
        <w:rPr>
          <w:rFonts w:ascii="Times New Roman" w:eastAsia="Times New Roman" w:hAnsi="Times New Roman" w:cs="Times New Roman"/>
          <w:sz w:val="24"/>
          <w:szCs w:val="24"/>
          <w:lang w:val="de-DE"/>
        </w:rPr>
        <w:t xml:space="preserve">wie jenem mit Mercosur sind </w:t>
      </w:r>
      <w:r>
        <w:rPr>
          <w:rFonts w:ascii="Times New Roman" w:eastAsia="Times New Roman" w:hAnsi="Times New Roman" w:cs="Times New Roman"/>
          <w:sz w:val="24"/>
          <w:szCs w:val="24"/>
          <w:lang w:val="de-DE"/>
        </w:rPr>
        <w:t xml:space="preserve">ein umstrittenes Thema. </w:t>
      </w:r>
      <w:r w:rsidRPr="00E965E8">
        <w:rPr>
          <w:rFonts w:ascii="Times New Roman" w:eastAsia="Times New Roman" w:hAnsi="Times New Roman" w:cs="Times New Roman"/>
          <w:sz w:val="24"/>
          <w:szCs w:val="24"/>
          <w:lang w:val="de-DE"/>
        </w:rPr>
        <w:t xml:space="preserve">Nachhaltigkeitsaspekte </w:t>
      </w:r>
      <w:r w:rsidR="00E93293">
        <w:rPr>
          <w:rFonts w:ascii="Times New Roman" w:eastAsia="Times New Roman" w:hAnsi="Times New Roman" w:cs="Times New Roman"/>
          <w:sz w:val="24"/>
          <w:szCs w:val="24"/>
          <w:lang w:val="de-DE"/>
        </w:rPr>
        <w:t>werden</w:t>
      </w:r>
      <w:r w:rsidRPr="00E965E8">
        <w:rPr>
          <w:rFonts w:ascii="Times New Roman" w:eastAsia="Times New Roman" w:hAnsi="Times New Roman" w:cs="Times New Roman"/>
          <w:sz w:val="24"/>
          <w:szCs w:val="24"/>
          <w:lang w:val="de-DE"/>
        </w:rPr>
        <w:t xml:space="preserve"> in drei Gruppen unterteilt: bürgerliche und politische Rechte, Arbeits- und Sozialrechte sowie Umweltschutz. Die EU setzt auf Kooperation und Dialog anstatt auf formale Streitbeilegungsverfahren zur Umsetzung von Nachhaltigkeitsklauseln. </w:t>
      </w:r>
      <w:r>
        <w:rPr>
          <w:rFonts w:ascii="Times New Roman" w:eastAsia="Times New Roman" w:hAnsi="Times New Roman" w:cs="Times New Roman"/>
          <w:sz w:val="24"/>
          <w:szCs w:val="24"/>
          <w:lang w:val="de-DE"/>
        </w:rPr>
        <w:t xml:space="preserve">Ein zusätzliches Instrument, das dem Abkommen mit Mercosur als Protokoll beigefügt wird, wurde zum Zeitpunkt der Veröffentlichung mit den </w:t>
      </w:r>
      <w:proofErr w:type="spellStart"/>
      <w:r>
        <w:rPr>
          <w:rFonts w:ascii="Times New Roman" w:eastAsia="Times New Roman" w:hAnsi="Times New Roman" w:cs="Times New Roman"/>
          <w:sz w:val="24"/>
          <w:szCs w:val="24"/>
          <w:lang w:val="de-DE"/>
        </w:rPr>
        <w:t>Mercosurländern</w:t>
      </w:r>
      <w:proofErr w:type="spellEnd"/>
      <w:r>
        <w:rPr>
          <w:rFonts w:ascii="Times New Roman" w:eastAsia="Times New Roman" w:hAnsi="Times New Roman" w:cs="Times New Roman"/>
          <w:sz w:val="24"/>
          <w:szCs w:val="24"/>
          <w:lang w:val="de-DE"/>
        </w:rPr>
        <w:t xml:space="preserve"> verhandelt. </w:t>
      </w:r>
      <w:r w:rsidRPr="00E965E8">
        <w:rPr>
          <w:rFonts w:ascii="Times New Roman" w:eastAsia="Times New Roman" w:hAnsi="Times New Roman" w:cs="Times New Roman"/>
          <w:sz w:val="24"/>
          <w:szCs w:val="24"/>
          <w:lang w:val="de-DE"/>
        </w:rPr>
        <w:t xml:space="preserve">In den Zusatzvereinbarungen wurden das Pariser Abkommen zum Klimaschutz und die Verordnung zur Bekämpfung der weltweiten Entwaldung </w:t>
      </w:r>
      <w:r>
        <w:rPr>
          <w:rFonts w:ascii="Times New Roman" w:eastAsia="Times New Roman" w:hAnsi="Times New Roman" w:cs="Times New Roman"/>
          <w:color w:val="212121"/>
          <w:sz w:val="24"/>
          <w:szCs w:val="24"/>
          <w:lang w:val="de-DE"/>
        </w:rPr>
        <w:t xml:space="preserve">einbezogen. Im Rahmen eines in Kraft stehenden Abkommens mit dem Mercosur könnten die Kritikpunkte viel besser angesprochen werden, so die Befürworter. </w:t>
      </w:r>
    </w:p>
    <w:p w14:paraId="3ECCB11D" w14:textId="77777777" w:rsidR="00E93293" w:rsidRDefault="00E93293" w:rsidP="006C1355">
      <w:pPr>
        <w:pStyle w:val="FootnoteText"/>
        <w:jc w:val="both"/>
        <w:rPr>
          <w:rFonts w:ascii="Times New Roman" w:eastAsia="Times New Roman" w:hAnsi="Times New Roman" w:cs="Times New Roman"/>
          <w:color w:val="212121"/>
          <w:sz w:val="24"/>
          <w:szCs w:val="24"/>
          <w:lang w:val="de-DE"/>
        </w:rPr>
      </w:pPr>
    </w:p>
    <w:p w14:paraId="423AE4B5" w14:textId="182782AC" w:rsidR="006C1355" w:rsidRDefault="006C1355" w:rsidP="006C1355">
      <w:pPr>
        <w:pStyle w:val="FootnoteText"/>
        <w:jc w:val="both"/>
        <w:rPr>
          <w:rFonts w:ascii="Times New Roman" w:eastAsia="Times New Roman" w:hAnsi="Times New Roman" w:cs="Times New Roman"/>
          <w:color w:val="212121"/>
          <w:sz w:val="24"/>
          <w:szCs w:val="24"/>
          <w:lang w:val="de-DE"/>
        </w:rPr>
      </w:pPr>
      <w:r w:rsidRPr="00724EDF">
        <w:rPr>
          <w:rFonts w:ascii="Times New Roman" w:eastAsia="Times New Roman" w:hAnsi="Times New Roman" w:cs="Times New Roman"/>
          <w:sz w:val="24"/>
          <w:szCs w:val="24"/>
          <w:lang w:val="de-DE"/>
        </w:rPr>
        <w:t>Die EU ist der größte Handelspartner des M</w:t>
      </w:r>
      <w:r>
        <w:rPr>
          <w:rFonts w:ascii="Times New Roman" w:eastAsia="Times New Roman" w:hAnsi="Times New Roman" w:cs="Times New Roman"/>
          <w:sz w:val="24"/>
          <w:szCs w:val="24"/>
          <w:lang w:val="de-DE"/>
        </w:rPr>
        <w:t>ercosur</w:t>
      </w:r>
      <w:r w:rsidRPr="00724EDF">
        <w:rPr>
          <w:rFonts w:ascii="Times New Roman" w:eastAsia="Times New Roman" w:hAnsi="Times New Roman" w:cs="Times New Roman"/>
          <w:sz w:val="24"/>
          <w:szCs w:val="24"/>
          <w:lang w:val="de-DE"/>
        </w:rPr>
        <w:t>.</w:t>
      </w:r>
      <w:r>
        <w:rPr>
          <w:rStyle w:val="FootnoteReference"/>
          <w:rFonts w:ascii="Times New Roman" w:eastAsia="Times New Roman" w:hAnsi="Times New Roman" w:cs="Times New Roman"/>
          <w:sz w:val="24"/>
          <w:szCs w:val="24"/>
          <w:lang w:val="de-DE"/>
        </w:rPr>
        <w:footnoteReference w:id="26"/>
      </w:r>
      <w:r w:rsidRPr="00724EDF">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 xml:space="preserve">Eine </w:t>
      </w:r>
      <w:r w:rsidR="000C4645">
        <w:rPr>
          <w:rFonts w:ascii="Times New Roman" w:eastAsia="Times New Roman" w:hAnsi="Times New Roman" w:cs="Times New Roman"/>
          <w:sz w:val="24"/>
          <w:szCs w:val="24"/>
          <w:lang w:val="de-DE"/>
        </w:rPr>
        <w:t xml:space="preserve">zeitnahe </w:t>
      </w:r>
      <w:r>
        <w:rPr>
          <w:rFonts w:ascii="Times New Roman" w:eastAsia="Times New Roman" w:hAnsi="Times New Roman" w:cs="Times New Roman"/>
          <w:sz w:val="24"/>
          <w:szCs w:val="24"/>
          <w:lang w:val="de-DE"/>
        </w:rPr>
        <w:t xml:space="preserve">Verabschiedung schien zum Zeitpunkt der Verfassung dieses Beitrages als </w:t>
      </w:r>
      <w:r w:rsidR="000C4645">
        <w:rPr>
          <w:rFonts w:ascii="Times New Roman" w:eastAsia="Times New Roman" w:hAnsi="Times New Roman" w:cs="Times New Roman"/>
          <w:sz w:val="24"/>
          <w:szCs w:val="24"/>
          <w:lang w:val="de-DE"/>
        </w:rPr>
        <w:t>eher un</w:t>
      </w:r>
      <w:r>
        <w:rPr>
          <w:rFonts w:ascii="Times New Roman" w:eastAsia="Times New Roman" w:hAnsi="Times New Roman" w:cs="Times New Roman"/>
          <w:sz w:val="24"/>
          <w:szCs w:val="24"/>
          <w:lang w:val="de-DE"/>
        </w:rPr>
        <w:t xml:space="preserve">wahrscheinlich. </w:t>
      </w:r>
      <w:r w:rsidRPr="00724EDF">
        <w:rPr>
          <w:rFonts w:ascii="Times New Roman" w:eastAsia="Times New Roman" w:hAnsi="Times New Roman" w:cs="Times New Roman"/>
          <w:sz w:val="24"/>
          <w:szCs w:val="24"/>
          <w:lang w:val="de-DE"/>
        </w:rPr>
        <w:t xml:space="preserve">Die </w:t>
      </w:r>
      <w:r>
        <w:rPr>
          <w:rFonts w:ascii="Times New Roman" w:eastAsia="Times New Roman" w:hAnsi="Times New Roman" w:cs="Times New Roman"/>
          <w:sz w:val="24"/>
          <w:szCs w:val="24"/>
          <w:lang w:val="de-DE"/>
        </w:rPr>
        <w:t xml:space="preserve">deutsche </w:t>
      </w:r>
      <w:r w:rsidRPr="00724EDF">
        <w:rPr>
          <w:rFonts w:ascii="Times New Roman" w:eastAsia="Times New Roman" w:hAnsi="Times New Roman" w:cs="Times New Roman"/>
          <w:sz w:val="24"/>
          <w:szCs w:val="24"/>
          <w:lang w:val="de-DE"/>
        </w:rPr>
        <w:t>Bundesregierung</w:t>
      </w:r>
      <w:r>
        <w:rPr>
          <w:rStyle w:val="FootnoteReference"/>
          <w:rFonts w:ascii="Times New Roman" w:eastAsia="Times New Roman" w:hAnsi="Times New Roman" w:cs="Times New Roman"/>
          <w:sz w:val="24"/>
          <w:szCs w:val="24"/>
          <w:lang w:val="de-DE"/>
        </w:rPr>
        <w:footnoteReference w:id="27"/>
      </w:r>
      <w:r>
        <w:rPr>
          <w:rFonts w:ascii="Times New Roman" w:eastAsia="Times New Roman" w:hAnsi="Times New Roman" w:cs="Times New Roman"/>
          <w:sz w:val="24"/>
          <w:szCs w:val="24"/>
          <w:lang w:val="de-DE"/>
        </w:rPr>
        <w:t xml:space="preserve"> </w:t>
      </w:r>
      <w:r w:rsidRPr="00724EDF">
        <w:rPr>
          <w:rFonts w:ascii="Times New Roman" w:eastAsia="Times New Roman" w:hAnsi="Times New Roman" w:cs="Times New Roman"/>
          <w:sz w:val="24"/>
          <w:szCs w:val="24"/>
          <w:lang w:val="de-DE"/>
        </w:rPr>
        <w:t xml:space="preserve">setzt sich für die Ratifizierung ein, </w:t>
      </w:r>
      <w:r w:rsidR="007E2A71">
        <w:rPr>
          <w:rFonts w:ascii="Times New Roman" w:eastAsia="Times New Roman" w:hAnsi="Times New Roman" w:cs="Times New Roman"/>
          <w:sz w:val="24"/>
          <w:szCs w:val="24"/>
          <w:lang w:val="de-DE"/>
        </w:rPr>
        <w:t>verlangt</w:t>
      </w:r>
      <w:r>
        <w:rPr>
          <w:rFonts w:ascii="Times New Roman" w:eastAsia="Times New Roman" w:hAnsi="Times New Roman" w:cs="Times New Roman"/>
          <w:sz w:val="24"/>
          <w:szCs w:val="24"/>
          <w:lang w:val="de-DE"/>
        </w:rPr>
        <w:t xml:space="preserve"> aber</w:t>
      </w:r>
      <w:r w:rsidRPr="00724EDF">
        <w:rPr>
          <w:rFonts w:ascii="Times New Roman" w:eastAsia="Times New Roman" w:hAnsi="Times New Roman" w:cs="Times New Roman"/>
          <w:sz w:val="24"/>
          <w:szCs w:val="24"/>
          <w:lang w:val="de-DE"/>
        </w:rPr>
        <w:t xml:space="preserve"> umsetzbare und überprüfbare, rechtlich verbindliche Verpflichtungen zum Umwel</w:t>
      </w:r>
      <w:r w:rsidR="007E2A71">
        <w:rPr>
          <w:rFonts w:ascii="Times New Roman" w:eastAsia="Times New Roman" w:hAnsi="Times New Roman" w:cs="Times New Roman"/>
          <w:sz w:val="24"/>
          <w:szCs w:val="24"/>
          <w:lang w:val="de-DE"/>
        </w:rPr>
        <w:t>t</w:t>
      </w:r>
      <w:r w:rsidR="00FF5184">
        <w:rPr>
          <w:rFonts w:ascii="Times New Roman" w:eastAsia="Times New Roman" w:hAnsi="Times New Roman" w:cs="Times New Roman"/>
          <w:sz w:val="24"/>
          <w:szCs w:val="24"/>
          <w:lang w:val="de-DE"/>
        </w:rPr>
        <w:t xml:space="preserve">-, </w:t>
      </w:r>
      <w:r w:rsidRPr="00724EDF">
        <w:rPr>
          <w:rFonts w:ascii="Times New Roman" w:eastAsia="Times New Roman" w:hAnsi="Times New Roman" w:cs="Times New Roman"/>
          <w:sz w:val="24"/>
          <w:szCs w:val="24"/>
          <w:lang w:val="de-DE"/>
        </w:rPr>
        <w:t xml:space="preserve">Sozial- und Menschenrechtsschutz </w:t>
      </w:r>
      <w:r w:rsidR="007E2A71">
        <w:rPr>
          <w:rFonts w:ascii="Times New Roman" w:eastAsia="Times New Roman" w:hAnsi="Times New Roman" w:cs="Times New Roman"/>
          <w:sz w:val="24"/>
          <w:szCs w:val="24"/>
          <w:lang w:val="de-DE"/>
        </w:rPr>
        <w:t>sowie</w:t>
      </w:r>
      <w:r w:rsidRPr="00724EDF">
        <w:rPr>
          <w:rFonts w:ascii="Times New Roman" w:eastAsia="Times New Roman" w:hAnsi="Times New Roman" w:cs="Times New Roman"/>
          <w:sz w:val="24"/>
          <w:szCs w:val="24"/>
          <w:lang w:val="de-DE"/>
        </w:rPr>
        <w:t xml:space="preserve"> praktisch durchsetzbare Zusatzvereinbarungen zum Schutz und Erhalt bestehender Waldflächen.</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color w:val="212121"/>
          <w:sz w:val="24"/>
          <w:szCs w:val="24"/>
          <w:lang w:val="de-DE"/>
        </w:rPr>
        <w:t>D</w:t>
      </w:r>
      <w:r w:rsidRPr="001D5F1C">
        <w:rPr>
          <w:rFonts w:ascii="Times New Roman" w:eastAsia="Times New Roman" w:hAnsi="Times New Roman" w:cs="Times New Roman"/>
          <w:color w:val="212121"/>
          <w:sz w:val="24"/>
          <w:szCs w:val="24"/>
          <w:lang w:val="de-DE"/>
        </w:rPr>
        <w:t>ie Verordnung (EU) 2023/1115</w:t>
      </w:r>
      <w:bookmarkStart w:id="5" w:name="_Hlk156639019"/>
      <w:r w:rsidRPr="001D5F1C">
        <w:rPr>
          <w:rStyle w:val="FootnoteReference"/>
          <w:rFonts w:ascii="Times New Roman" w:eastAsia="Times New Roman" w:hAnsi="Times New Roman" w:cs="Times New Roman"/>
          <w:color w:val="212121"/>
          <w:sz w:val="24"/>
          <w:szCs w:val="24"/>
          <w:lang w:val="de-DE"/>
        </w:rPr>
        <w:footnoteReference w:id="28"/>
      </w:r>
      <w:r w:rsidRPr="001D5F1C">
        <w:rPr>
          <w:rFonts w:ascii="Times New Roman" w:eastAsia="Times New Roman" w:hAnsi="Times New Roman" w:cs="Times New Roman"/>
          <w:color w:val="212121"/>
          <w:sz w:val="24"/>
          <w:szCs w:val="24"/>
          <w:lang w:val="de-DE"/>
        </w:rPr>
        <w:t xml:space="preserve"> </w:t>
      </w:r>
      <w:bookmarkEnd w:id="5"/>
      <w:r w:rsidRPr="001D5F1C">
        <w:rPr>
          <w:rFonts w:ascii="Times New Roman" w:eastAsia="Times New Roman" w:hAnsi="Times New Roman" w:cs="Times New Roman"/>
          <w:color w:val="212121"/>
          <w:sz w:val="24"/>
          <w:szCs w:val="24"/>
          <w:lang w:val="de-DE"/>
        </w:rPr>
        <w:t>über die Bereitstellung bestimmter Rohstoffe und Erzeugnisse, die mit Entwaldung und Waldschädigung in Verbindung stehen (EU-Entwaldungsverordnung) gilt ab dem 30.12.2024</w:t>
      </w:r>
      <w:r>
        <w:rPr>
          <w:rFonts w:ascii="Times New Roman" w:eastAsia="Times New Roman" w:hAnsi="Times New Roman" w:cs="Times New Roman"/>
          <w:color w:val="212121"/>
          <w:sz w:val="24"/>
          <w:szCs w:val="24"/>
          <w:lang w:val="de-DE"/>
        </w:rPr>
        <w:t xml:space="preserve">. </w:t>
      </w:r>
      <w:r w:rsidRPr="001D5F1C">
        <w:rPr>
          <w:rFonts w:ascii="Times New Roman" w:eastAsia="Times New Roman" w:hAnsi="Times New Roman" w:cs="Times New Roman"/>
          <w:color w:val="212121"/>
          <w:sz w:val="24"/>
          <w:szCs w:val="24"/>
          <w:lang w:val="de-DE"/>
        </w:rPr>
        <w:t>Angesichts der Übergangsfrist von knapp 18 Monaten besteht für Industrie und Handel akuter Handlungsbedarf, um die Lieferketten im Hinblick auf Entwaldung zu be</w:t>
      </w:r>
      <w:r>
        <w:rPr>
          <w:rFonts w:ascii="Times New Roman" w:eastAsia="Times New Roman" w:hAnsi="Times New Roman" w:cs="Times New Roman"/>
          <w:color w:val="212121"/>
          <w:sz w:val="24"/>
          <w:szCs w:val="24"/>
          <w:lang w:val="de-DE"/>
        </w:rPr>
        <w:t>urteilen</w:t>
      </w:r>
      <w:r w:rsidRPr="001D5F1C">
        <w:rPr>
          <w:rFonts w:ascii="Times New Roman" w:eastAsia="Times New Roman" w:hAnsi="Times New Roman" w:cs="Times New Roman"/>
          <w:color w:val="212121"/>
          <w:sz w:val="24"/>
          <w:szCs w:val="24"/>
          <w:lang w:val="de-DE"/>
        </w:rPr>
        <w:t xml:space="preserve"> und die notwendige Dokumentation sicherzustellen</w:t>
      </w:r>
      <w:r>
        <w:rPr>
          <w:rFonts w:ascii="Times New Roman" w:eastAsia="Times New Roman" w:hAnsi="Times New Roman" w:cs="Times New Roman"/>
          <w:i/>
          <w:iCs/>
          <w:color w:val="212121"/>
          <w:sz w:val="24"/>
          <w:szCs w:val="24"/>
          <w:lang w:val="de-DE"/>
        </w:rPr>
        <w:t xml:space="preserve">. </w:t>
      </w:r>
      <w:r w:rsidRPr="00724EDF">
        <w:rPr>
          <w:rFonts w:ascii="Times New Roman" w:eastAsia="Times New Roman" w:hAnsi="Times New Roman" w:cs="Times New Roman"/>
          <w:sz w:val="24"/>
          <w:szCs w:val="24"/>
          <w:lang w:val="de-DE"/>
        </w:rPr>
        <w:t xml:space="preserve">Zusatzprotokolle wie </w:t>
      </w:r>
      <w:r>
        <w:rPr>
          <w:rFonts w:ascii="Times New Roman" w:eastAsia="Times New Roman" w:hAnsi="Times New Roman" w:cs="Times New Roman"/>
          <w:sz w:val="24"/>
          <w:szCs w:val="24"/>
          <w:lang w:val="de-DE"/>
        </w:rPr>
        <w:t>jene zur</w:t>
      </w:r>
      <w:r w:rsidRPr="00724EDF">
        <w:rPr>
          <w:rFonts w:ascii="Times New Roman" w:eastAsia="Times New Roman" w:hAnsi="Times New Roman" w:cs="Times New Roman"/>
          <w:sz w:val="24"/>
          <w:szCs w:val="24"/>
          <w:lang w:val="de-DE"/>
        </w:rPr>
        <w:t xml:space="preserve"> </w:t>
      </w:r>
      <w:r>
        <w:rPr>
          <w:rFonts w:ascii="Times New Roman" w:eastAsia="Times New Roman" w:hAnsi="Times New Roman" w:cs="Times New Roman"/>
          <w:sz w:val="24"/>
          <w:szCs w:val="24"/>
          <w:lang w:val="de-DE"/>
        </w:rPr>
        <w:t>Entwaldungsverordnung der</w:t>
      </w:r>
      <w:r w:rsidRPr="00724EDF">
        <w:rPr>
          <w:rFonts w:ascii="Times New Roman" w:eastAsia="Times New Roman" w:hAnsi="Times New Roman" w:cs="Times New Roman"/>
          <w:sz w:val="24"/>
          <w:szCs w:val="24"/>
          <w:lang w:val="de-DE"/>
        </w:rPr>
        <w:t xml:space="preserve"> EU, Lieferkettengesetze oder die Einhaltung der Pariser COP 27</w:t>
      </w:r>
      <w:r>
        <w:rPr>
          <w:rFonts w:ascii="Times New Roman" w:eastAsia="Times New Roman" w:hAnsi="Times New Roman" w:cs="Times New Roman"/>
          <w:sz w:val="24"/>
          <w:szCs w:val="24"/>
          <w:lang w:val="de-DE"/>
        </w:rPr>
        <w:t>-</w:t>
      </w:r>
      <w:r w:rsidRPr="00724EDF">
        <w:rPr>
          <w:rFonts w:ascii="Times New Roman" w:eastAsia="Times New Roman" w:hAnsi="Times New Roman" w:cs="Times New Roman"/>
          <w:sz w:val="24"/>
          <w:szCs w:val="24"/>
          <w:lang w:val="de-DE"/>
        </w:rPr>
        <w:t xml:space="preserve">Kimaziele </w:t>
      </w:r>
      <w:r w:rsidR="007E2A71">
        <w:rPr>
          <w:rFonts w:ascii="Times New Roman" w:eastAsia="Times New Roman" w:hAnsi="Times New Roman" w:cs="Times New Roman"/>
          <w:sz w:val="24"/>
          <w:szCs w:val="24"/>
          <w:lang w:val="de-DE"/>
        </w:rPr>
        <w:t xml:space="preserve">und der </w:t>
      </w:r>
      <w:r w:rsidR="007E2A71" w:rsidRPr="007E2A71">
        <w:rPr>
          <w:rFonts w:ascii="Times New Roman" w:eastAsia="Times New Roman" w:hAnsi="Times New Roman" w:cs="Times New Roman"/>
          <w:sz w:val="24"/>
          <w:szCs w:val="24"/>
          <w:lang w:val="de-DE"/>
        </w:rPr>
        <w:t xml:space="preserve">CO2-Grenzausgleichsmechanismus </w:t>
      </w:r>
      <w:r w:rsidR="007E2A71">
        <w:rPr>
          <w:rStyle w:val="FootnoteReference"/>
          <w:rFonts w:ascii="Times New Roman" w:eastAsia="Times New Roman" w:hAnsi="Times New Roman" w:cs="Times New Roman"/>
          <w:sz w:val="24"/>
          <w:szCs w:val="24"/>
          <w:lang w:val="de-DE"/>
        </w:rPr>
        <w:footnoteReference w:id="29"/>
      </w:r>
      <w:r w:rsidRPr="00724EDF">
        <w:rPr>
          <w:rFonts w:ascii="Times New Roman" w:eastAsia="Times New Roman" w:hAnsi="Times New Roman" w:cs="Times New Roman"/>
          <w:sz w:val="24"/>
          <w:szCs w:val="24"/>
          <w:lang w:val="de-DE"/>
        </w:rPr>
        <w:t>stoßen bei vielen Partnerländern auf Widerstand.</w:t>
      </w:r>
      <w:r>
        <w:rPr>
          <w:rFonts w:ascii="Times New Roman" w:eastAsia="Times New Roman" w:hAnsi="Times New Roman" w:cs="Times New Roman"/>
          <w:sz w:val="24"/>
          <w:szCs w:val="24"/>
          <w:lang w:val="de-DE"/>
        </w:rPr>
        <w:t xml:space="preserve"> </w:t>
      </w:r>
      <w:r>
        <w:rPr>
          <w:rFonts w:ascii="Times New Roman" w:eastAsia="Times New Roman" w:hAnsi="Times New Roman" w:cs="Times New Roman"/>
          <w:color w:val="212121"/>
          <w:sz w:val="24"/>
          <w:szCs w:val="24"/>
          <w:lang w:val="de-DE"/>
        </w:rPr>
        <w:t xml:space="preserve">Die </w:t>
      </w:r>
      <w:proofErr w:type="spellStart"/>
      <w:r>
        <w:rPr>
          <w:rFonts w:ascii="Times New Roman" w:eastAsia="Times New Roman" w:hAnsi="Times New Roman" w:cs="Times New Roman"/>
          <w:color w:val="212121"/>
          <w:sz w:val="24"/>
          <w:szCs w:val="24"/>
          <w:lang w:val="de-DE"/>
        </w:rPr>
        <w:t>Mercosurländer</w:t>
      </w:r>
      <w:proofErr w:type="spellEnd"/>
      <w:r>
        <w:rPr>
          <w:rFonts w:ascii="Times New Roman" w:eastAsia="Times New Roman" w:hAnsi="Times New Roman" w:cs="Times New Roman"/>
          <w:color w:val="212121"/>
          <w:sz w:val="24"/>
          <w:szCs w:val="24"/>
          <w:lang w:val="de-DE"/>
        </w:rPr>
        <w:t xml:space="preserve"> würden durch zusätzliche Auflagen Marktzugänge in die EU, die sie 2019 gewährt bekamen, nicht im vollen Umfang umsetzen können.</w:t>
      </w:r>
    </w:p>
    <w:p w14:paraId="133E611D" w14:textId="77777777" w:rsidR="007E2A71" w:rsidRDefault="007E2A71" w:rsidP="006C1355">
      <w:pPr>
        <w:pStyle w:val="FootnoteText"/>
        <w:jc w:val="both"/>
        <w:rPr>
          <w:rFonts w:ascii="Times New Roman" w:eastAsia="Times New Roman" w:hAnsi="Times New Roman" w:cs="Times New Roman"/>
          <w:color w:val="212121"/>
          <w:sz w:val="24"/>
          <w:szCs w:val="24"/>
          <w:lang w:val="de-DE"/>
        </w:rPr>
      </w:pPr>
    </w:p>
    <w:p w14:paraId="6864C80C" w14:textId="7974431A" w:rsidR="006C1355" w:rsidRDefault="006C1355" w:rsidP="006C1355">
      <w:pPr>
        <w:jc w:val="both"/>
        <w:rPr>
          <w:rFonts w:ascii="Times New Roman" w:eastAsia="Times New Roman" w:hAnsi="Times New Roman" w:cs="Times New Roman"/>
          <w:color w:val="1E1E1F"/>
          <w:sz w:val="24"/>
          <w:szCs w:val="24"/>
          <w:lang w:val="de-DE" w:eastAsia="en-GB"/>
        </w:rPr>
      </w:pPr>
      <w:r>
        <w:rPr>
          <w:rFonts w:ascii="Times New Roman" w:eastAsia="Times New Roman" w:hAnsi="Times New Roman" w:cs="Times New Roman"/>
          <w:color w:val="212121"/>
          <w:sz w:val="24"/>
          <w:szCs w:val="24"/>
          <w:lang w:val="de-DE"/>
        </w:rPr>
        <w:t xml:space="preserve">Viele </w:t>
      </w:r>
      <w:r w:rsidR="007E2A71">
        <w:rPr>
          <w:rFonts w:ascii="Times New Roman" w:eastAsia="Times New Roman" w:hAnsi="Times New Roman" w:cs="Times New Roman"/>
          <w:color w:val="212121"/>
          <w:sz w:val="24"/>
          <w:szCs w:val="24"/>
          <w:lang w:val="de-DE"/>
        </w:rPr>
        <w:t>EU-</w:t>
      </w:r>
      <w:r>
        <w:rPr>
          <w:rFonts w:ascii="Times New Roman" w:eastAsia="Times New Roman" w:hAnsi="Times New Roman" w:cs="Times New Roman"/>
          <w:color w:val="212121"/>
          <w:sz w:val="24"/>
          <w:szCs w:val="24"/>
          <w:lang w:val="de-DE"/>
        </w:rPr>
        <w:t xml:space="preserve">Mitgliedstaaten </w:t>
      </w:r>
      <w:r w:rsidRPr="00724EDF">
        <w:rPr>
          <w:rFonts w:ascii="Times New Roman" w:eastAsia="Times New Roman" w:hAnsi="Times New Roman" w:cs="Times New Roman"/>
          <w:color w:val="212121"/>
          <w:sz w:val="24"/>
          <w:szCs w:val="24"/>
          <w:lang w:val="de-DE"/>
        </w:rPr>
        <w:t>setz</w:t>
      </w:r>
      <w:r>
        <w:rPr>
          <w:rFonts w:ascii="Times New Roman" w:eastAsia="Times New Roman" w:hAnsi="Times New Roman" w:cs="Times New Roman"/>
          <w:color w:val="212121"/>
          <w:sz w:val="24"/>
          <w:szCs w:val="24"/>
          <w:lang w:val="de-DE"/>
        </w:rPr>
        <w:t>en</w:t>
      </w:r>
      <w:r w:rsidRPr="00724EDF">
        <w:rPr>
          <w:rFonts w:ascii="Times New Roman" w:eastAsia="Times New Roman" w:hAnsi="Times New Roman" w:cs="Times New Roman"/>
          <w:color w:val="212121"/>
          <w:sz w:val="24"/>
          <w:szCs w:val="24"/>
          <w:lang w:val="de-DE"/>
        </w:rPr>
        <w:t xml:space="preserve"> sich erst dann für die Ratifizierung des Mercosur-Abkommens ein, wenn von Seiten der Partnerländer überprüfbare, rechtlich verbindliche Verpflichtungen eingegangen werden und durchsetzbare Zusatzvereinbarungen zum Schutz </w:t>
      </w:r>
      <w:r w:rsidRPr="00724EDF">
        <w:rPr>
          <w:rFonts w:ascii="Times New Roman" w:eastAsia="Times New Roman" w:hAnsi="Times New Roman" w:cs="Times New Roman"/>
          <w:color w:val="212121"/>
          <w:sz w:val="24"/>
          <w:szCs w:val="24"/>
          <w:lang w:val="de-DE"/>
        </w:rPr>
        <w:lastRenderedPageBreak/>
        <w:t>und Erhalt bestehender Waldflächen abgeschlossen worden sind.</w:t>
      </w:r>
      <w:r>
        <w:rPr>
          <w:rFonts w:ascii="Times New Roman" w:eastAsia="Times New Roman" w:hAnsi="Times New Roman" w:cs="Times New Roman"/>
          <w:color w:val="212121"/>
          <w:sz w:val="24"/>
          <w:szCs w:val="24"/>
          <w:lang w:val="de-DE"/>
        </w:rPr>
        <w:t xml:space="preserve"> </w:t>
      </w:r>
      <w:r w:rsidRPr="00AE2116">
        <w:rPr>
          <w:rFonts w:ascii="Times New Roman" w:eastAsia="Times New Roman" w:hAnsi="Times New Roman" w:cs="Times New Roman"/>
          <w:color w:val="242424"/>
          <w:spacing w:val="3"/>
          <w:sz w:val="24"/>
          <w:szCs w:val="24"/>
          <w:lang w:val="de-DE" w:eastAsia="en-GB"/>
        </w:rPr>
        <w:t>Kompliziert wird es, wenn EU-Mitglieder wie Frankreich</w:t>
      </w:r>
      <w:r w:rsidR="007E2A71">
        <w:rPr>
          <w:rStyle w:val="FootnoteReference"/>
          <w:rFonts w:ascii="Times New Roman" w:eastAsia="Times New Roman" w:hAnsi="Times New Roman" w:cs="Times New Roman"/>
          <w:color w:val="242424"/>
          <w:spacing w:val="3"/>
          <w:sz w:val="24"/>
          <w:szCs w:val="24"/>
          <w:lang w:val="de-DE" w:eastAsia="en-GB"/>
        </w:rPr>
        <w:footnoteReference w:id="30"/>
      </w:r>
      <w:r>
        <w:rPr>
          <w:rFonts w:ascii="Times New Roman" w:eastAsia="Times New Roman" w:hAnsi="Times New Roman" w:cs="Times New Roman"/>
          <w:color w:val="242424"/>
          <w:spacing w:val="3"/>
          <w:sz w:val="24"/>
          <w:szCs w:val="24"/>
          <w:lang w:val="de-DE" w:eastAsia="en-GB"/>
        </w:rPr>
        <w:t>,</w:t>
      </w:r>
      <w:r w:rsidRPr="00AE2116">
        <w:rPr>
          <w:rFonts w:ascii="Times New Roman" w:eastAsia="Times New Roman" w:hAnsi="Times New Roman" w:cs="Times New Roman"/>
          <w:color w:val="242424"/>
          <w:spacing w:val="3"/>
          <w:sz w:val="24"/>
          <w:szCs w:val="24"/>
          <w:lang w:val="de-DE" w:eastAsia="en-GB"/>
        </w:rPr>
        <w:t xml:space="preserve"> die Niederlande oder Österreich vergleichbare oder idente Produktionstechniken in den Partnerländern verlangen.</w:t>
      </w:r>
      <w:r>
        <w:rPr>
          <w:rFonts w:ascii="Times New Roman" w:eastAsia="Times New Roman" w:hAnsi="Times New Roman" w:cs="Times New Roman"/>
          <w:color w:val="242424"/>
          <w:spacing w:val="3"/>
          <w:sz w:val="24"/>
          <w:szCs w:val="24"/>
          <w:lang w:val="de-DE" w:eastAsia="en-GB"/>
        </w:rPr>
        <w:t xml:space="preserve"> </w:t>
      </w:r>
      <w:r w:rsidRPr="00AE2116">
        <w:rPr>
          <w:rFonts w:ascii="Times New Roman" w:eastAsia="Times New Roman" w:hAnsi="Times New Roman" w:cs="Times New Roman"/>
          <w:color w:val="242424"/>
          <w:spacing w:val="3"/>
          <w:sz w:val="24"/>
          <w:szCs w:val="24"/>
          <w:lang w:val="de-DE" w:eastAsia="en-GB"/>
        </w:rPr>
        <w:t>Ein solches Unterfangen wird etwa von Brasilien vehement abgelehnt.</w:t>
      </w:r>
      <w:r>
        <w:rPr>
          <w:rFonts w:ascii="Times New Roman" w:eastAsia="Times New Roman" w:hAnsi="Times New Roman" w:cs="Times New Roman"/>
          <w:color w:val="242424"/>
          <w:spacing w:val="3"/>
          <w:sz w:val="24"/>
          <w:szCs w:val="24"/>
          <w:lang w:val="de-DE" w:eastAsia="en-GB"/>
        </w:rPr>
        <w:t xml:space="preserve"> </w:t>
      </w:r>
      <w:r w:rsidRPr="0029579E">
        <w:rPr>
          <w:rFonts w:ascii="Times New Roman" w:eastAsia="Times New Roman" w:hAnsi="Times New Roman" w:cs="Times New Roman"/>
          <w:color w:val="212121"/>
          <w:sz w:val="24"/>
          <w:szCs w:val="24"/>
          <w:lang w:val="de-DE"/>
        </w:rPr>
        <w:t>Aus meiner Sicht geht das zu weit und kann in Verhandlungen nur sehr schwer dargestellt werden.</w:t>
      </w:r>
      <w:r w:rsidRPr="001C41BD">
        <w:rPr>
          <w:rFonts w:ascii="Times New Roman" w:eastAsia="Times New Roman" w:hAnsi="Times New Roman" w:cs="Times New Roman"/>
          <w:color w:val="212121"/>
          <w:sz w:val="24"/>
          <w:szCs w:val="24"/>
          <w:lang w:val="de-DE"/>
        </w:rPr>
        <w:t xml:space="preserve"> </w:t>
      </w:r>
      <w:r>
        <w:rPr>
          <w:rFonts w:ascii="Times New Roman" w:eastAsia="Times New Roman" w:hAnsi="Times New Roman" w:cs="Times New Roman"/>
          <w:color w:val="212121"/>
          <w:sz w:val="24"/>
          <w:szCs w:val="24"/>
          <w:lang w:val="de-DE"/>
        </w:rPr>
        <w:t xml:space="preserve">Brasilien möchte seine Produktionstechniken in der Landwirtschaft nicht grundlegend ändern. </w:t>
      </w:r>
      <w:r>
        <w:rPr>
          <w:rFonts w:ascii="Times New Roman" w:eastAsia="Times New Roman" w:hAnsi="Times New Roman" w:cs="Times New Roman"/>
          <w:sz w:val="24"/>
          <w:szCs w:val="24"/>
          <w:lang w:val="de-DE"/>
        </w:rPr>
        <w:t>I</w:t>
      </w:r>
      <w:r w:rsidRPr="00724EDF">
        <w:rPr>
          <w:rFonts w:ascii="Times New Roman" w:eastAsia="Times New Roman" w:hAnsi="Times New Roman" w:cs="Times New Roman"/>
          <w:sz w:val="24"/>
          <w:szCs w:val="24"/>
          <w:lang w:val="de-DE"/>
        </w:rPr>
        <w:t xml:space="preserve">m Bereich </w:t>
      </w:r>
      <w:r>
        <w:rPr>
          <w:rFonts w:ascii="Times New Roman" w:eastAsia="Times New Roman" w:hAnsi="Times New Roman" w:cs="Times New Roman"/>
          <w:sz w:val="24"/>
          <w:szCs w:val="24"/>
          <w:lang w:val="de-DE"/>
        </w:rPr>
        <w:t xml:space="preserve">der </w:t>
      </w:r>
      <w:r w:rsidRPr="00724EDF">
        <w:rPr>
          <w:rFonts w:ascii="Times New Roman" w:eastAsia="Times New Roman" w:hAnsi="Times New Roman" w:cs="Times New Roman"/>
          <w:sz w:val="24"/>
          <w:szCs w:val="24"/>
          <w:lang w:val="de-DE"/>
        </w:rPr>
        <w:t xml:space="preserve">Lebensmittelsicherheit </w:t>
      </w:r>
      <w:r>
        <w:rPr>
          <w:rFonts w:ascii="Times New Roman" w:eastAsia="Times New Roman" w:hAnsi="Times New Roman" w:cs="Times New Roman"/>
          <w:sz w:val="24"/>
          <w:szCs w:val="24"/>
          <w:lang w:val="de-DE"/>
        </w:rPr>
        <w:t>gilt in der EU das</w:t>
      </w:r>
      <w:r w:rsidRPr="00724EDF">
        <w:rPr>
          <w:rFonts w:ascii="Times New Roman" w:eastAsia="Times New Roman" w:hAnsi="Times New Roman" w:cs="Times New Roman"/>
          <w:sz w:val="24"/>
          <w:szCs w:val="24"/>
          <w:lang w:val="de-DE"/>
        </w:rPr>
        <w:t xml:space="preserve"> Konzept „Vom Hof auf den Tisch</w:t>
      </w:r>
      <w:r>
        <w:rPr>
          <w:rFonts w:ascii="Times New Roman" w:eastAsia="Times New Roman" w:hAnsi="Times New Roman" w:cs="Times New Roman"/>
          <w:sz w:val="24"/>
          <w:szCs w:val="24"/>
          <w:lang w:val="de-DE"/>
        </w:rPr>
        <w:t>“</w:t>
      </w:r>
      <w:r>
        <w:rPr>
          <w:rStyle w:val="FootnoteReference"/>
          <w:rFonts w:ascii="Times New Roman" w:eastAsia="Times New Roman" w:hAnsi="Times New Roman" w:cs="Times New Roman"/>
          <w:sz w:val="24"/>
          <w:szCs w:val="24"/>
          <w:lang w:val="de-DE"/>
        </w:rPr>
        <w:footnoteReference w:id="31"/>
      </w:r>
      <w:r w:rsidRPr="00724EDF">
        <w:rPr>
          <w:rFonts w:ascii="Times New Roman" w:eastAsia="Times New Roman" w:hAnsi="Times New Roman" w:cs="Times New Roman"/>
          <w:sz w:val="24"/>
          <w:szCs w:val="24"/>
          <w:lang w:val="de-DE"/>
        </w:rPr>
        <w:t xml:space="preserve">, mit dem für alle Lebensmittelerzeugnisse, die in der EU vermarktet werden, in allen Phasen der </w:t>
      </w:r>
      <w:r w:rsidRPr="00595661">
        <w:rPr>
          <w:rFonts w:ascii="Times New Roman" w:eastAsia="Times New Roman" w:hAnsi="Times New Roman" w:cs="Times New Roman"/>
          <w:sz w:val="24"/>
          <w:szCs w:val="24"/>
          <w:lang w:val="de-DE"/>
        </w:rPr>
        <w:t>Herstellungs- und Vertriebsabläufe ein hohes Sicherheitsniveau gewahrt werden soll, und zwar unabhängig davon, ob sie in der EU erzeugt oder aus Drittländern eingeführt werden. Dieses</w:t>
      </w:r>
      <w:r w:rsidRPr="00724EDF">
        <w:rPr>
          <w:rFonts w:ascii="Times New Roman" w:eastAsia="Times New Roman" w:hAnsi="Times New Roman" w:cs="Times New Roman"/>
          <w:sz w:val="24"/>
          <w:szCs w:val="24"/>
          <w:lang w:val="de-DE"/>
        </w:rPr>
        <w:t xml:space="preserve"> Regelwerk bildet ein komplexes und integriertes System von Vorschriften, </w:t>
      </w:r>
      <w:r>
        <w:rPr>
          <w:rFonts w:ascii="Times New Roman" w:eastAsia="Times New Roman" w:hAnsi="Times New Roman" w:cs="Times New Roman"/>
          <w:sz w:val="24"/>
          <w:szCs w:val="24"/>
          <w:lang w:val="de-DE"/>
        </w:rPr>
        <w:t>welche</w:t>
      </w:r>
      <w:r w:rsidRPr="00724EDF">
        <w:rPr>
          <w:rFonts w:ascii="Times New Roman" w:eastAsia="Times New Roman" w:hAnsi="Times New Roman" w:cs="Times New Roman"/>
          <w:sz w:val="24"/>
          <w:szCs w:val="24"/>
          <w:lang w:val="de-DE"/>
        </w:rPr>
        <w:t xml:space="preserve"> die gesamte Lebensmittelkette erfass</w:t>
      </w:r>
      <w:r>
        <w:rPr>
          <w:rFonts w:ascii="Times New Roman" w:eastAsia="Times New Roman" w:hAnsi="Times New Roman" w:cs="Times New Roman"/>
          <w:sz w:val="24"/>
          <w:szCs w:val="24"/>
          <w:lang w:val="de-DE"/>
        </w:rPr>
        <w:t>en</w:t>
      </w:r>
      <w:r w:rsidRPr="00724EDF">
        <w:rPr>
          <w:rFonts w:ascii="Times New Roman" w:eastAsia="Times New Roman" w:hAnsi="Times New Roman" w:cs="Times New Roman"/>
          <w:sz w:val="24"/>
          <w:szCs w:val="24"/>
          <w:lang w:val="de-DE"/>
        </w:rPr>
        <w:t xml:space="preserve">, von Futtermitteln und Tiergesundheit über Pflanzenschutz und Lebensmittelerzeugung bis hin zu Verarbeitung, Lagerung, Transport, </w:t>
      </w:r>
      <w:r w:rsidRPr="00FB3688">
        <w:rPr>
          <w:rFonts w:ascii="Times New Roman" w:eastAsia="Times New Roman" w:hAnsi="Times New Roman" w:cs="Times New Roman"/>
          <w:sz w:val="24"/>
          <w:szCs w:val="24"/>
          <w:lang w:val="de-DE"/>
        </w:rPr>
        <w:t>Ein- und Ausfuhr sowie</w:t>
      </w:r>
      <w:r w:rsidRPr="00724EDF">
        <w:rPr>
          <w:rFonts w:ascii="Times New Roman" w:eastAsia="Times New Roman" w:hAnsi="Times New Roman" w:cs="Times New Roman"/>
          <w:sz w:val="24"/>
          <w:szCs w:val="24"/>
          <w:lang w:val="de-DE"/>
        </w:rPr>
        <w:t xml:space="preserve"> Einzelhandel. In einer Rahmenverordnung von 2002 </w:t>
      </w:r>
      <w:r>
        <w:rPr>
          <w:rFonts w:ascii="Times New Roman" w:eastAsia="Times New Roman" w:hAnsi="Times New Roman" w:cs="Times New Roman"/>
          <w:sz w:val="24"/>
          <w:szCs w:val="24"/>
          <w:lang w:val="de-DE"/>
        </w:rPr>
        <w:t>wurden</w:t>
      </w:r>
      <w:r w:rsidRPr="00724EDF">
        <w:rPr>
          <w:rFonts w:ascii="Times New Roman" w:eastAsia="Times New Roman" w:hAnsi="Times New Roman" w:cs="Times New Roman"/>
          <w:sz w:val="24"/>
          <w:szCs w:val="24"/>
          <w:lang w:val="de-DE"/>
        </w:rPr>
        <w:t xml:space="preserve"> unter Berücksichtigung des Vorsorgeprinzips die allgemeinen Grundsätze und Anforderungen des Lebens- und Futtermittelrechts der EU festgelegt</w:t>
      </w:r>
      <w:r>
        <w:rPr>
          <w:rFonts w:ascii="Times New Roman" w:eastAsia="Times New Roman" w:hAnsi="Times New Roman" w:cs="Times New Roman"/>
          <w:sz w:val="24"/>
          <w:szCs w:val="24"/>
          <w:lang w:val="de-DE"/>
        </w:rPr>
        <w:t>.</w:t>
      </w:r>
      <w:r>
        <w:rPr>
          <w:rStyle w:val="FootnoteReference"/>
          <w:rFonts w:ascii="Times New Roman" w:eastAsia="Times New Roman" w:hAnsi="Times New Roman" w:cs="Times New Roman"/>
          <w:sz w:val="24"/>
          <w:szCs w:val="24"/>
          <w:lang w:val="de-DE"/>
        </w:rPr>
        <w:footnoteReference w:id="32"/>
      </w:r>
      <w:r w:rsidRPr="00724EDF">
        <w:rPr>
          <w:rFonts w:ascii="Times New Roman" w:eastAsia="Times New Roman" w:hAnsi="Times New Roman" w:cs="Times New Roman"/>
          <w:sz w:val="24"/>
          <w:szCs w:val="24"/>
          <w:lang w:val="de-DE"/>
        </w:rPr>
        <w:t xml:space="preserve"> In der Verordnung werden ein Risikobewertungsansatz und Bestimmungen über die Rückverfolgbarkeit von Lebens- und Futtermitteln festgelegt. </w:t>
      </w:r>
      <w:r>
        <w:rPr>
          <w:rFonts w:ascii="Times New Roman" w:eastAsia="Times New Roman" w:hAnsi="Times New Roman" w:cs="Times New Roman"/>
          <w:color w:val="212121"/>
          <w:sz w:val="24"/>
          <w:szCs w:val="24"/>
          <w:lang w:val="de-DE"/>
        </w:rPr>
        <w:t>Kei</w:t>
      </w:r>
      <w:r w:rsidRPr="00724EDF">
        <w:rPr>
          <w:rFonts w:ascii="Times New Roman" w:eastAsia="Times New Roman" w:hAnsi="Times New Roman" w:cs="Times New Roman"/>
          <w:color w:val="212121"/>
          <w:sz w:val="24"/>
          <w:szCs w:val="24"/>
          <w:lang w:val="de-DE"/>
        </w:rPr>
        <w:t xml:space="preserve">n Lebensmittelprodukt </w:t>
      </w:r>
      <w:r>
        <w:rPr>
          <w:rFonts w:ascii="Times New Roman" w:eastAsia="Times New Roman" w:hAnsi="Times New Roman" w:cs="Times New Roman"/>
          <w:color w:val="212121"/>
          <w:sz w:val="24"/>
          <w:szCs w:val="24"/>
          <w:lang w:val="de-DE"/>
        </w:rPr>
        <w:t xml:space="preserve">darf </w:t>
      </w:r>
      <w:r w:rsidRPr="00724EDF">
        <w:rPr>
          <w:rFonts w:ascii="Times New Roman" w:eastAsia="Times New Roman" w:hAnsi="Times New Roman" w:cs="Times New Roman"/>
          <w:color w:val="212121"/>
          <w:sz w:val="24"/>
          <w:szCs w:val="24"/>
          <w:lang w:val="de-DE"/>
        </w:rPr>
        <w:t>in den europäischen Markt gelangen</w:t>
      </w:r>
      <w:r>
        <w:rPr>
          <w:rFonts w:ascii="Times New Roman" w:eastAsia="Times New Roman" w:hAnsi="Times New Roman" w:cs="Times New Roman"/>
          <w:color w:val="212121"/>
          <w:sz w:val="24"/>
          <w:szCs w:val="24"/>
          <w:lang w:val="de-DE"/>
        </w:rPr>
        <w:t>,</w:t>
      </w:r>
      <w:r w:rsidRPr="00724EDF">
        <w:rPr>
          <w:rFonts w:ascii="Times New Roman" w:eastAsia="Times New Roman" w:hAnsi="Times New Roman" w:cs="Times New Roman"/>
          <w:color w:val="212121"/>
          <w:sz w:val="24"/>
          <w:szCs w:val="24"/>
          <w:lang w:val="de-DE"/>
        </w:rPr>
        <w:t xml:space="preserve"> das nicht den strengen Anforderungen und Standards entspricht.</w:t>
      </w:r>
      <w:r>
        <w:rPr>
          <w:rStyle w:val="FootnoteReference"/>
          <w:rFonts w:ascii="Times New Roman" w:eastAsia="Times New Roman" w:hAnsi="Times New Roman" w:cs="Times New Roman"/>
          <w:color w:val="212121"/>
          <w:sz w:val="24"/>
          <w:szCs w:val="24"/>
          <w:lang w:val="de-DE"/>
        </w:rPr>
        <w:footnoteReference w:id="33"/>
      </w:r>
      <w:r w:rsidRPr="001D5F1C">
        <w:rPr>
          <w:rFonts w:ascii="Times New Roman" w:eastAsia="Times New Roman" w:hAnsi="Times New Roman" w:cs="Times New Roman"/>
          <w:color w:val="212121"/>
          <w:sz w:val="24"/>
          <w:szCs w:val="24"/>
          <w:lang w:val="de-DE"/>
        </w:rPr>
        <w:t xml:space="preserve"> </w:t>
      </w:r>
      <w:r w:rsidRPr="00361739">
        <w:rPr>
          <w:rFonts w:ascii="Times New Roman" w:eastAsia="Times New Roman" w:hAnsi="Times New Roman" w:cs="Times New Roman"/>
          <w:color w:val="212121"/>
          <w:sz w:val="24"/>
          <w:szCs w:val="24"/>
          <w:lang w:val="de-DE"/>
        </w:rPr>
        <w:t>In spezifischen Bestimmungen über die </w:t>
      </w:r>
      <w:hyperlink r:id="rId8" w:history="1">
        <w:r w:rsidRPr="00F44950">
          <w:rPr>
            <w:rFonts w:ascii="Times New Roman" w:eastAsia="Times New Roman" w:hAnsi="Times New Roman" w:cs="Times New Roman"/>
            <w:color w:val="212121"/>
            <w:sz w:val="24"/>
            <w:szCs w:val="24"/>
            <w:lang w:val="de-DE"/>
          </w:rPr>
          <w:t>Ursprungsangabe</w:t>
        </w:r>
      </w:hyperlink>
      <w:r w:rsidRPr="00361739">
        <w:rPr>
          <w:rFonts w:ascii="Times New Roman" w:eastAsia="Times New Roman" w:hAnsi="Times New Roman" w:cs="Times New Roman"/>
          <w:color w:val="212121"/>
          <w:sz w:val="24"/>
          <w:szCs w:val="24"/>
          <w:lang w:val="de-DE"/>
        </w:rPr>
        <w:t> werden die Einzelheiten festgelegt</w:t>
      </w:r>
      <w:r>
        <w:rPr>
          <w:rFonts w:ascii="Times New Roman" w:eastAsia="Times New Roman" w:hAnsi="Times New Roman" w:cs="Times New Roman"/>
          <w:color w:val="212121"/>
          <w:sz w:val="24"/>
          <w:szCs w:val="24"/>
          <w:lang w:val="de-DE"/>
        </w:rPr>
        <w:t>,</w:t>
      </w:r>
      <w:r w:rsidRPr="00595661">
        <w:rPr>
          <w:rFonts w:ascii="Times New Roman" w:eastAsia="Times New Roman" w:hAnsi="Times New Roman" w:cs="Times New Roman"/>
          <w:color w:val="1E1E1F"/>
          <w:sz w:val="24"/>
          <w:szCs w:val="24"/>
          <w:lang w:val="de-DE" w:eastAsia="en-GB"/>
        </w:rPr>
        <w:t xml:space="preserve"> </w:t>
      </w:r>
      <w:r>
        <w:rPr>
          <w:rFonts w:ascii="Times New Roman" w:eastAsia="Times New Roman" w:hAnsi="Times New Roman" w:cs="Times New Roman"/>
          <w:color w:val="1E1E1F"/>
          <w:sz w:val="24"/>
          <w:szCs w:val="24"/>
          <w:lang w:val="de-DE" w:eastAsia="en-GB"/>
        </w:rPr>
        <w:t xml:space="preserve">etwa </w:t>
      </w:r>
      <w:r w:rsidRPr="00595661">
        <w:rPr>
          <w:rFonts w:ascii="Times New Roman" w:eastAsia="Times New Roman" w:hAnsi="Times New Roman" w:cs="Times New Roman"/>
          <w:color w:val="1E1E1F"/>
          <w:sz w:val="24"/>
          <w:szCs w:val="24"/>
          <w:lang w:val="de-DE" w:eastAsia="en-GB"/>
        </w:rPr>
        <w:t xml:space="preserve">die Angabe des </w:t>
      </w:r>
      <w:proofErr w:type="spellStart"/>
      <w:r w:rsidRPr="00595661">
        <w:rPr>
          <w:rFonts w:ascii="Times New Roman" w:eastAsia="Times New Roman" w:hAnsi="Times New Roman" w:cs="Times New Roman"/>
          <w:color w:val="1E1E1F"/>
          <w:sz w:val="24"/>
          <w:szCs w:val="24"/>
          <w:lang w:val="de-DE" w:eastAsia="en-GB"/>
        </w:rPr>
        <w:t>Aufzuchts</w:t>
      </w:r>
      <w:proofErr w:type="spellEnd"/>
      <w:r w:rsidRPr="00595661">
        <w:rPr>
          <w:rFonts w:ascii="Times New Roman" w:eastAsia="Times New Roman" w:hAnsi="Times New Roman" w:cs="Times New Roman"/>
          <w:color w:val="1E1E1F"/>
          <w:sz w:val="24"/>
          <w:szCs w:val="24"/>
          <w:lang w:val="de-DE" w:eastAsia="en-GB"/>
        </w:rPr>
        <w:t xml:space="preserve">- und des Schlachtorts von </w:t>
      </w:r>
      <w:r w:rsidRPr="00361739">
        <w:rPr>
          <w:rFonts w:ascii="Times New Roman" w:eastAsia="Times New Roman" w:hAnsi="Times New Roman" w:cs="Times New Roman"/>
          <w:color w:val="1E1E1F"/>
          <w:sz w:val="24"/>
          <w:szCs w:val="24"/>
          <w:lang w:val="de-DE" w:eastAsia="en-GB"/>
        </w:rPr>
        <w:t>Schweine-, Schaf-, Ziegen- und Geflügelfleisch</w:t>
      </w:r>
      <w:r>
        <w:rPr>
          <w:rFonts w:ascii="Times New Roman" w:eastAsia="Times New Roman" w:hAnsi="Times New Roman" w:cs="Times New Roman"/>
          <w:color w:val="1E1E1F"/>
          <w:sz w:val="24"/>
          <w:szCs w:val="24"/>
          <w:lang w:val="de-DE" w:eastAsia="en-GB"/>
        </w:rPr>
        <w:t>. D</w:t>
      </w:r>
      <w:r w:rsidRPr="00361739">
        <w:rPr>
          <w:rFonts w:ascii="Times New Roman" w:eastAsia="Times New Roman" w:hAnsi="Times New Roman" w:cs="Times New Roman"/>
          <w:color w:val="1E1E1F"/>
          <w:sz w:val="24"/>
          <w:szCs w:val="24"/>
          <w:lang w:val="de-DE" w:eastAsia="en-GB"/>
        </w:rPr>
        <w:t>ie Kennzeichnung</w:t>
      </w:r>
      <w:r>
        <w:rPr>
          <w:rFonts w:ascii="Times New Roman" w:eastAsia="Times New Roman" w:hAnsi="Times New Roman" w:cs="Times New Roman"/>
          <w:color w:val="1E1E1F"/>
          <w:sz w:val="24"/>
          <w:szCs w:val="24"/>
          <w:lang w:val="de-DE" w:eastAsia="en-GB"/>
        </w:rPr>
        <w:t xml:space="preserve"> von Lebensmitteln muss sich</w:t>
      </w:r>
      <w:r w:rsidRPr="00361739">
        <w:rPr>
          <w:rFonts w:ascii="Times New Roman" w:eastAsia="Times New Roman" w:hAnsi="Times New Roman" w:cs="Times New Roman"/>
          <w:color w:val="1E1E1F"/>
          <w:sz w:val="24"/>
          <w:szCs w:val="24"/>
          <w:lang w:val="de-DE" w:eastAsia="en-GB"/>
        </w:rPr>
        <w:t xml:space="preserve"> auf wissenschaftliche Erkenntnisse stützen und </w:t>
      </w:r>
      <w:r>
        <w:rPr>
          <w:rFonts w:ascii="Times New Roman" w:eastAsia="Times New Roman" w:hAnsi="Times New Roman" w:cs="Times New Roman"/>
          <w:color w:val="1E1E1F"/>
          <w:sz w:val="24"/>
          <w:szCs w:val="24"/>
          <w:lang w:val="de-DE" w:eastAsia="en-GB"/>
        </w:rPr>
        <w:t>ist</w:t>
      </w:r>
      <w:r w:rsidRPr="00361739">
        <w:rPr>
          <w:rFonts w:ascii="Times New Roman" w:eastAsia="Times New Roman" w:hAnsi="Times New Roman" w:cs="Times New Roman"/>
          <w:color w:val="1E1E1F"/>
          <w:sz w:val="24"/>
          <w:szCs w:val="24"/>
          <w:lang w:val="de-DE" w:eastAsia="en-GB"/>
        </w:rPr>
        <w:t xml:space="preserve"> in einem öffentlichen Register der EU einsehbar</w:t>
      </w:r>
      <w:r>
        <w:rPr>
          <w:rFonts w:ascii="Times New Roman" w:eastAsia="Times New Roman" w:hAnsi="Times New Roman" w:cs="Times New Roman"/>
          <w:color w:val="1E1E1F"/>
          <w:sz w:val="24"/>
          <w:szCs w:val="24"/>
          <w:lang w:val="de-DE" w:eastAsia="en-GB"/>
        </w:rPr>
        <w:t xml:space="preserve">. </w:t>
      </w:r>
      <w:r w:rsidRPr="00595661">
        <w:rPr>
          <w:rFonts w:ascii="Times New Roman" w:eastAsia="Times New Roman" w:hAnsi="Times New Roman" w:cs="Times New Roman"/>
          <w:color w:val="1E1E1F"/>
          <w:sz w:val="24"/>
          <w:szCs w:val="24"/>
          <w:lang w:val="de-DE" w:eastAsia="en-GB"/>
        </w:rPr>
        <w:t xml:space="preserve">All diese Bestimmungen sind </w:t>
      </w:r>
      <w:r>
        <w:rPr>
          <w:rFonts w:ascii="Times New Roman" w:eastAsia="Times New Roman" w:hAnsi="Times New Roman" w:cs="Times New Roman"/>
          <w:color w:val="1E1E1F"/>
          <w:sz w:val="24"/>
          <w:szCs w:val="24"/>
          <w:lang w:val="de-DE" w:eastAsia="en-GB"/>
        </w:rPr>
        <w:t xml:space="preserve">wichtig, aber machen das </w:t>
      </w:r>
      <w:r w:rsidRPr="00595661">
        <w:rPr>
          <w:rFonts w:ascii="Times New Roman" w:eastAsia="Times New Roman" w:hAnsi="Times New Roman" w:cs="Times New Roman"/>
          <w:color w:val="1E1E1F"/>
          <w:sz w:val="24"/>
          <w:szCs w:val="24"/>
          <w:lang w:val="de-DE" w:eastAsia="en-GB"/>
        </w:rPr>
        <w:t xml:space="preserve">Abkommen mit Südamerika </w:t>
      </w:r>
      <w:r>
        <w:rPr>
          <w:rFonts w:ascii="Times New Roman" w:eastAsia="Times New Roman" w:hAnsi="Times New Roman" w:cs="Times New Roman"/>
          <w:color w:val="1E1E1F"/>
          <w:sz w:val="24"/>
          <w:szCs w:val="24"/>
          <w:lang w:val="de-DE" w:eastAsia="en-GB"/>
        </w:rPr>
        <w:t xml:space="preserve">zu einem komplizierten Unterfangen. </w:t>
      </w:r>
    </w:p>
    <w:p w14:paraId="3495D2ED" w14:textId="67208DD5" w:rsidR="00925A40" w:rsidRPr="004F065E" w:rsidRDefault="00925A40" w:rsidP="009746FB">
      <w:pPr>
        <w:pStyle w:val="Heading1"/>
        <w:rPr>
          <w:rFonts w:ascii="Times New Roman" w:hAnsi="Times New Roman" w:cs="Times New Roman"/>
          <w:b/>
          <w:bCs/>
          <w:color w:val="000000" w:themeColor="text1"/>
          <w:sz w:val="24"/>
          <w:szCs w:val="24"/>
          <w:shd w:val="clear" w:color="auto" w:fill="FFFFFF"/>
          <w:lang w:val="de-DE"/>
        </w:rPr>
      </w:pPr>
      <w:bookmarkStart w:id="6" w:name="_Toc161050725"/>
      <w:r w:rsidRPr="004F065E">
        <w:rPr>
          <w:rFonts w:ascii="Times New Roman" w:hAnsi="Times New Roman" w:cs="Times New Roman"/>
          <w:b/>
          <w:bCs/>
          <w:color w:val="000000" w:themeColor="text1"/>
          <w:sz w:val="24"/>
          <w:szCs w:val="24"/>
          <w:shd w:val="clear" w:color="auto" w:fill="FFFFFF"/>
          <w:lang w:val="de-DE"/>
        </w:rPr>
        <w:t>V</w:t>
      </w:r>
      <w:r w:rsidR="006C1355">
        <w:rPr>
          <w:rFonts w:ascii="Times New Roman" w:hAnsi="Times New Roman" w:cs="Times New Roman"/>
          <w:b/>
          <w:bCs/>
          <w:color w:val="000000" w:themeColor="text1"/>
          <w:sz w:val="24"/>
          <w:szCs w:val="24"/>
          <w:shd w:val="clear" w:color="auto" w:fill="FFFFFF"/>
          <w:lang w:val="de-DE"/>
        </w:rPr>
        <w:t>I</w:t>
      </w:r>
      <w:r w:rsidRPr="004F065E">
        <w:rPr>
          <w:rFonts w:ascii="Times New Roman" w:hAnsi="Times New Roman" w:cs="Times New Roman"/>
          <w:b/>
          <w:bCs/>
          <w:color w:val="000000" w:themeColor="text1"/>
          <w:sz w:val="24"/>
          <w:szCs w:val="24"/>
          <w:shd w:val="clear" w:color="auto" w:fill="FFFFFF"/>
          <w:lang w:val="de-DE"/>
        </w:rPr>
        <w:tab/>
        <w:t xml:space="preserve">Wettbewerbsbestimmungen in </w:t>
      </w:r>
      <w:r w:rsidR="00CA26BE">
        <w:rPr>
          <w:rFonts w:ascii="Times New Roman" w:hAnsi="Times New Roman" w:cs="Times New Roman"/>
          <w:b/>
          <w:bCs/>
          <w:color w:val="000000" w:themeColor="text1"/>
          <w:sz w:val="24"/>
          <w:szCs w:val="24"/>
          <w:shd w:val="clear" w:color="auto" w:fill="FFFFFF"/>
          <w:lang w:val="de-DE"/>
        </w:rPr>
        <w:t>H</w:t>
      </w:r>
      <w:r w:rsidRPr="004F065E">
        <w:rPr>
          <w:rFonts w:ascii="Times New Roman" w:hAnsi="Times New Roman" w:cs="Times New Roman"/>
          <w:b/>
          <w:bCs/>
          <w:color w:val="000000" w:themeColor="text1"/>
          <w:sz w:val="24"/>
          <w:szCs w:val="24"/>
          <w:shd w:val="clear" w:color="auto" w:fill="FFFFFF"/>
          <w:lang w:val="de-DE"/>
        </w:rPr>
        <w:t>andelsabkommen</w:t>
      </w:r>
      <w:bookmarkEnd w:id="6"/>
      <w:r w:rsidRPr="004F065E">
        <w:rPr>
          <w:rFonts w:ascii="Times New Roman" w:hAnsi="Times New Roman" w:cs="Times New Roman"/>
          <w:b/>
          <w:bCs/>
          <w:color w:val="000000" w:themeColor="text1"/>
          <w:sz w:val="24"/>
          <w:szCs w:val="24"/>
          <w:shd w:val="clear" w:color="auto" w:fill="FFFFFF"/>
          <w:lang w:val="de-DE"/>
        </w:rPr>
        <w:t xml:space="preserve"> </w:t>
      </w:r>
    </w:p>
    <w:p w14:paraId="295DB80D" w14:textId="77777777" w:rsidR="00BD1726" w:rsidRPr="004F065E" w:rsidRDefault="00BD1726" w:rsidP="00925A40">
      <w:pPr>
        <w:spacing w:after="0" w:line="240" w:lineRule="auto"/>
        <w:jc w:val="both"/>
        <w:rPr>
          <w:rFonts w:ascii="Times New Roman" w:hAnsi="Times New Roman" w:cs="Times New Roman"/>
          <w:b/>
          <w:bCs/>
          <w:color w:val="000000" w:themeColor="text1"/>
          <w:sz w:val="24"/>
          <w:szCs w:val="24"/>
          <w:shd w:val="clear" w:color="auto" w:fill="FFFFFF"/>
          <w:lang w:val="de-DE"/>
        </w:rPr>
      </w:pPr>
    </w:p>
    <w:p w14:paraId="75FE5450" w14:textId="469F41D0" w:rsidR="00925A40" w:rsidRPr="004F065E" w:rsidRDefault="00925A40" w:rsidP="00925A40">
      <w:pPr>
        <w:jc w:val="both"/>
        <w:rPr>
          <w:rFonts w:ascii="Times New Roman" w:eastAsia="Times New Roman" w:hAnsi="Times New Roman" w:cs="Times New Roman"/>
          <w:color w:val="000000" w:themeColor="text1"/>
          <w:sz w:val="24"/>
          <w:szCs w:val="24"/>
          <w:lang w:val="de-DE" w:eastAsia="en-GB"/>
        </w:rPr>
      </w:pPr>
      <w:r w:rsidRPr="004F065E">
        <w:rPr>
          <w:rFonts w:ascii="Times New Roman" w:hAnsi="Times New Roman" w:cs="Times New Roman"/>
          <w:color w:val="000000" w:themeColor="text1"/>
          <w:sz w:val="24"/>
          <w:szCs w:val="24"/>
          <w:shd w:val="clear" w:color="auto" w:fill="FFFFFF"/>
          <w:lang w:val="de-DE"/>
        </w:rPr>
        <w:t xml:space="preserve">In diesem Abschnitt werden die wichtigsten </w:t>
      </w:r>
      <w:r w:rsidR="00ED2311" w:rsidRPr="004F065E">
        <w:rPr>
          <w:rFonts w:ascii="Times New Roman" w:hAnsi="Times New Roman" w:cs="Times New Roman"/>
          <w:color w:val="000000" w:themeColor="text1"/>
          <w:sz w:val="24"/>
          <w:szCs w:val="24"/>
          <w:shd w:val="clear" w:color="auto" w:fill="FFFFFF"/>
          <w:lang w:val="de-DE"/>
        </w:rPr>
        <w:t xml:space="preserve">Instrumente </w:t>
      </w:r>
      <w:r w:rsidR="00F43A79">
        <w:rPr>
          <w:rFonts w:ascii="Times New Roman" w:hAnsi="Times New Roman" w:cs="Times New Roman"/>
          <w:color w:val="000000" w:themeColor="text1"/>
          <w:sz w:val="24"/>
          <w:szCs w:val="24"/>
          <w:shd w:val="clear" w:color="auto" w:fill="FFFFFF"/>
          <w:lang w:val="de-DE"/>
        </w:rPr>
        <w:t>besprochen</w:t>
      </w:r>
      <w:r w:rsidR="00ED2311">
        <w:rPr>
          <w:rFonts w:ascii="Times New Roman" w:hAnsi="Times New Roman" w:cs="Times New Roman"/>
          <w:color w:val="000000" w:themeColor="text1"/>
          <w:sz w:val="24"/>
          <w:szCs w:val="24"/>
          <w:shd w:val="clear" w:color="auto" w:fill="FFFFFF"/>
          <w:lang w:val="de-DE"/>
        </w:rPr>
        <w:t>,</w:t>
      </w:r>
      <w:r w:rsidR="00ED2311" w:rsidRPr="004F065E">
        <w:rPr>
          <w:rFonts w:ascii="Times New Roman" w:hAnsi="Times New Roman" w:cs="Times New Roman"/>
          <w:color w:val="000000" w:themeColor="text1"/>
          <w:sz w:val="24"/>
          <w:szCs w:val="24"/>
          <w:shd w:val="clear" w:color="auto" w:fill="FFFFFF"/>
          <w:lang w:val="de-DE"/>
        </w:rPr>
        <w:t xml:space="preserve"> die </w:t>
      </w:r>
      <w:r w:rsidR="00ED2311">
        <w:rPr>
          <w:rFonts w:ascii="Times New Roman" w:hAnsi="Times New Roman" w:cs="Times New Roman"/>
          <w:color w:val="000000" w:themeColor="text1"/>
          <w:sz w:val="24"/>
          <w:szCs w:val="24"/>
          <w:shd w:val="clear" w:color="auto" w:fill="FFFFFF"/>
          <w:lang w:val="de-DE"/>
        </w:rPr>
        <w:t xml:space="preserve">die </w:t>
      </w:r>
      <w:r w:rsidR="00ED2311" w:rsidRPr="004F065E">
        <w:rPr>
          <w:rFonts w:ascii="Times New Roman" w:hAnsi="Times New Roman" w:cs="Times New Roman"/>
          <w:color w:val="000000" w:themeColor="text1"/>
          <w:sz w:val="24"/>
          <w:szCs w:val="24"/>
          <w:shd w:val="clear" w:color="auto" w:fill="FFFFFF"/>
          <w:lang w:val="de-DE"/>
        </w:rPr>
        <w:t>EU-Handelspolitik in Bezug auf Regeln für staatliche Eingriffe in den Markt, insbesondere für Subventionen und staatseigene Unternehmen</w:t>
      </w:r>
      <w:r w:rsidRPr="004F065E">
        <w:rPr>
          <w:rFonts w:ascii="Times New Roman" w:hAnsi="Times New Roman" w:cs="Times New Roman"/>
          <w:color w:val="000000" w:themeColor="text1"/>
          <w:sz w:val="24"/>
          <w:szCs w:val="24"/>
          <w:shd w:val="clear" w:color="auto" w:fill="FFFFFF"/>
          <w:lang w:val="de-DE"/>
        </w:rPr>
        <w:t xml:space="preserve">, entwickelt hat. Weiters </w:t>
      </w:r>
      <w:r w:rsidR="00514317">
        <w:rPr>
          <w:rFonts w:ascii="Times New Roman" w:hAnsi="Times New Roman" w:cs="Times New Roman"/>
          <w:color w:val="000000" w:themeColor="text1"/>
          <w:sz w:val="24"/>
          <w:szCs w:val="24"/>
          <w:shd w:val="clear" w:color="auto" w:fill="FFFFFF"/>
          <w:lang w:val="de-DE"/>
        </w:rPr>
        <w:t>werden die</w:t>
      </w:r>
      <w:r w:rsidRPr="004F065E">
        <w:rPr>
          <w:rFonts w:ascii="Times New Roman" w:hAnsi="Times New Roman" w:cs="Times New Roman"/>
          <w:color w:val="000000" w:themeColor="text1"/>
          <w:sz w:val="24"/>
          <w:szCs w:val="24"/>
          <w:shd w:val="clear" w:color="auto" w:fill="FFFFFF"/>
          <w:lang w:val="de-DE"/>
        </w:rPr>
        <w:t xml:space="preserve"> Regelungen über Subventionen und staatseigene Unternehmen auf multilateraler Ebene (WTO)</w:t>
      </w:r>
      <w:r w:rsidR="0046607D">
        <w:rPr>
          <w:rFonts w:ascii="Times New Roman" w:hAnsi="Times New Roman" w:cs="Times New Roman"/>
          <w:color w:val="000000" w:themeColor="text1"/>
          <w:sz w:val="24"/>
          <w:szCs w:val="24"/>
          <w:shd w:val="clear" w:color="auto" w:fill="FFFFFF"/>
          <w:lang w:val="de-DE"/>
        </w:rPr>
        <w:t xml:space="preserve"> </w:t>
      </w:r>
      <w:r w:rsidR="00514317">
        <w:rPr>
          <w:rFonts w:ascii="Times New Roman" w:hAnsi="Times New Roman" w:cs="Times New Roman"/>
          <w:color w:val="000000" w:themeColor="text1"/>
          <w:sz w:val="24"/>
          <w:szCs w:val="24"/>
          <w:shd w:val="clear" w:color="auto" w:fill="FFFFFF"/>
          <w:lang w:val="de-DE"/>
        </w:rPr>
        <w:t>sowie</w:t>
      </w:r>
      <w:r w:rsidRPr="004F065E">
        <w:rPr>
          <w:rFonts w:ascii="Times New Roman" w:hAnsi="Times New Roman" w:cs="Times New Roman"/>
          <w:color w:val="000000" w:themeColor="text1"/>
          <w:sz w:val="24"/>
          <w:szCs w:val="24"/>
          <w:shd w:val="clear" w:color="auto" w:fill="FFFFFF"/>
          <w:lang w:val="de-DE"/>
        </w:rPr>
        <w:t xml:space="preserve"> die kürzlich in Kraft getretene neue Verordnung über drittstaatliche Subventionen</w:t>
      </w:r>
      <w:r w:rsidR="00CA26BE" w:rsidRPr="00CA26BE">
        <w:rPr>
          <w:rFonts w:ascii="Times New Roman" w:hAnsi="Times New Roman" w:cs="Times New Roman"/>
          <w:color w:val="000000" w:themeColor="text1"/>
          <w:sz w:val="24"/>
          <w:szCs w:val="24"/>
          <w:shd w:val="clear" w:color="auto" w:fill="FFFFFF"/>
          <w:lang w:val="de-DE"/>
        </w:rPr>
        <w:t xml:space="preserve"> </w:t>
      </w:r>
      <w:r w:rsidR="00CA26BE">
        <w:rPr>
          <w:rFonts w:ascii="Times New Roman" w:hAnsi="Times New Roman" w:cs="Times New Roman"/>
          <w:color w:val="000000" w:themeColor="text1"/>
          <w:sz w:val="24"/>
          <w:szCs w:val="24"/>
          <w:shd w:val="clear" w:color="auto" w:fill="FFFFFF"/>
          <w:lang w:val="de-DE"/>
        </w:rPr>
        <w:t>betrachtet</w:t>
      </w:r>
      <w:r w:rsidR="001A1467" w:rsidRPr="004F065E">
        <w:rPr>
          <w:rFonts w:ascii="Times New Roman" w:hAnsi="Times New Roman" w:cs="Times New Roman"/>
          <w:color w:val="000000" w:themeColor="text1"/>
          <w:sz w:val="24"/>
          <w:szCs w:val="24"/>
          <w:shd w:val="clear" w:color="auto" w:fill="FFFFFF"/>
          <w:lang w:val="de-DE"/>
        </w:rPr>
        <w:t xml:space="preserve">. </w:t>
      </w:r>
      <w:r w:rsidRPr="004F065E">
        <w:rPr>
          <w:rFonts w:ascii="Times New Roman" w:eastAsia="Times New Roman" w:hAnsi="Times New Roman" w:cs="Times New Roman"/>
          <w:color w:val="000000" w:themeColor="text1"/>
          <w:sz w:val="24"/>
          <w:szCs w:val="24"/>
          <w:lang w:val="de-DE" w:eastAsia="en-GB"/>
        </w:rPr>
        <w:t>Die Beihilfenkontrolle wird gemeinhin als echte Besonderheit der EU-Rechtsordnung verstanden.</w:t>
      </w:r>
      <w:r w:rsidRPr="004F065E">
        <w:rPr>
          <w:rStyle w:val="FootnoteReference"/>
          <w:rFonts w:ascii="Times New Roman" w:eastAsia="Times New Roman" w:hAnsi="Times New Roman" w:cs="Times New Roman"/>
          <w:color w:val="000000" w:themeColor="text1"/>
          <w:sz w:val="24"/>
          <w:szCs w:val="24"/>
          <w:lang w:val="de-DE" w:eastAsia="en-GB"/>
        </w:rPr>
        <w:footnoteReference w:id="34"/>
      </w:r>
      <w:r w:rsidRPr="004F065E">
        <w:rPr>
          <w:rFonts w:ascii="Times New Roman" w:eastAsia="Times New Roman" w:hAnsi="Times New Roman" w:cs="Times New Roman"/>
          <w:color w:val="000000" w:themeColor="text1"/>
          <w:sz w:val="24"/>
          <w:szCs w:val="24"/>
          <w:lang w:val="de-DE" w:eastAsia="en-GB"/>
        </w:rPr>
        <w:t xml:space="preserve"> Es gibt kein anderes Rechtssystem in der Welt, das einen vergleichbaren Grundsatz enthält, der staatliche Unterstützung für Unternehmen verbietet.</w:t>
      </w:r>
    </w:p>
    <w:p w14:paraId="675F0A54" w14:textId="44F53B0A" w:rsidR="0059586E" w:rsidRPr="004F065E" w:rsidRDefault="0059586E" w:rsidP="0012248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de-DE" w:eastAsia="en-GB"/>
        </w:rPr>
      </w:pPr>
      <w:r w:rsidRPr="00EB745F">
        <w:rPr>
          <w:rFonts w:ascii="Times New Roman" w:eastAsia="Times New Roman" w:hAnsi="Times New Roman" w:cs="Times New Roman"/>
          <w:color w:val="000000" w:themeColor="text1"/>
          <w:sz w:val="24"/>
          <w:szCs w:val="24"/>
          <w:lang w:val="de-DE" w:eastAsia="en-GB"/>
        </w:rPr>
        <w:lastRenderedPageBreak/>
        <w:t>Die Bestimmung</w:t>
      </w:r>
      <w:r w:rsidR="007E558B" w:rsidRPr="00EB745F">
        <w:rPr>
          <w:rFonts w:ascii="Times New Roman" w:eastAsia="Times New Roman" w:hAnsi="Times New Roman" w:cs="Times New Roman"/>
          <w:color w:val="000000" w:themeColor="text1"/>
          <w:sz w:val="24"/>
          <w:szCs w:val="24"/>
          <w:lang w:val="de-DE" w:eastAsia="en-GB"/>
        </w:rPr>
        <w:t>en</w:t>
      </w:r>
      <w:r w:rsidRPr="00EB745F">
        <w:rPr>
          <w:rFonts w:ascii="Times New Roman" w:eastAsia="Times New Roman" w:hAnsi="Times New Roman" w:cs="Times New Roman"/>
          <w:color w:val="000000" w:themeColor="text1"/>
          <w:sz w:val="24"/>
          <w:szCs w:val="24"/>
          <w:lang w:val="de-DE" w:eastAsia="en-GB"/>
        </w:rPr>
        <w:t xml:space="preserve"> über die Regelung staatlicher Beihilfen im EU-Rechtsrahmen finde</w:t>
      </w:r>
      <w:r w:rsidR="007E558B" w:rsidRPr="00EB745F">
        <w:rPr>
          <w:rFonts w:ascii="Times New Roman" w:eastAsia="Times New Roman" w:hAnsi="Times New Roman" w:cs="Times New Roman"/>
          <w:color w:val="000000" w:themeColor="text1"/>
          <w:sz w:val="24"/>
          <w:szCs w:val="24"/>
          <w:lang w:val="de-DE" w:eastAsia="en-GB"/>
        </w:rPr>
        <w:t>n</w:t>
      </w:r>
      <w:r w:rsidRPr="00EB745F">
        <w:rPr>
          <w:rFonts w:ascii="Times New Roman" w:eastAsia="Times New Roman" w:hAnsi="Times New Roman" w:cs="Times New Roman"/>
          <w:color w:val="000000" w:themeColor="text1"/>
          <w:sz w:val="24"/>
          <w:szCs w:val="24"/>
          <w:lang w:val="de-DE" w:eastAsia="en-GB"/>
        </w:rPr>
        <w:t xml:space="preserve"> sich in Art 107 AEUV,</w:t>
      </w:r>
      <w:r w:rsidRPr="004F065E">
        <w:rPr>
          <w:rFonts w:ascii="Times New Roman" w:eastAsia="Times New Roman" w:hAnsi="Times New Roman" w:cs="Times New Roman"/>
          <w:color w:val="000000" w:themeColor="text1"/>
          <w:sz w:val="24"/>
          <w:szCs w:val="24"/>
          <w:lang w:val="de-DE" w:eastAsia="en-GB"/>
        </w:rPr>
        <w:t xml:space="preserve"> der das allgemeine Verbot der Gewährung staatlicher Beihilfen als auch Kategorien von Beihilfen enthält, die mit dem Binnenmarkt vereinbar sin</w:t>
      </w:r>
      <w:r w:rsidR="00866DBB" w:rsidRPr="004F065E">
        <w:rPr>
          <w:rFonts w:ascii="Times New Roman" w:eastAsia="Times New Roman" w:hAnsi="Times New Roman" w:cs="Times New Roman"/>
          <w:color w:val="000000" w:themeColor="text1"/>
          <w:sz w:val="24"/>
          <w:szCs w:val="24"/>
          <w:lang w:val="de-DE" w:eastAsia="en-GB"/>
        </w:rPr>
        <w:t>d</w:t>
      </w:r>
      <w:r w:rsidRPr="004F065E">
        <w:rPr>
          <w:rFonts w:ascii="Times New Roman" w:eastAsia="Times New Roman" w:hAnsi="Times New Roman" w:cs="Times New Roman"/>
          <w:color w:val="000000" w:themeColor="text1"/>
          <w:sz w:val="24"/>
          <w:szCs w:val="24"/>
          <w:lang w:val="de-DE" w:eastAsia="en-GB"/>
        </w:rPr>
        <w:t xml:space="preserve"> oder sein können. Nach Art 107 Abs 1 </w:t>
      </w:r>
      <w:r w:rsidR="007E558B">
        <w:rPr>
          <w:rFonts w:ascii="Times New Roman" w:eastAsia="Times New Roman" w:hAnsi="Times New Roman" w:cs="Times New Roman"/>
          <w:color w:val="000000" w:themeColor="text1"/>
          <w:sz w:val="24"/>
          <w:szCs w:val="24"/>
          <w:lang w:val="de-DE" w:eastAsia="en-GB"/>
        </w:rPr>
        <w:t xml:space="preserve">AEUV </w:t>
      </w:r>
      <w:r w:rsidRPr="004F065E">
        <w:rPr>
          <w:rFonts w:ascii="Times New Roman" w:eastAsia="Times New Roman" w:hAnsi="Times New Roman" w:cs="Times New Roman"/>
          <w:color w:val="000000" w:themeColor="text1"/>
          <w:sz w:val="24"/>
          <w:szCs w:val="24"/>
          <w:lang w:val="de-DE" w:eastAsia="en-GB"/>
        </w:rPr>
        <w:t>wird der Begriff der staatlichen Beihilfe wie folgt definiert:</w:t>
      </w:r>
    </w:p>
    <w:p w14:paraId="441C2CA8" w14:textId="77777777" w:rsidR="0059586E" w:rsidRPr="004F065E" w:rsidRDefault="0059586E" w:rsidP="00122481">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de-DE" w:eastAsia="en-GB"/>
        </w:rPr>
      </w:pPr>
    </w:p>
    <w:p w14:paraId="593D66DC" w14:textId="77777777" w:rsidR="00E93293" w:rsidRDefault="0059586E" w:rsidP="00F0434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de-DE" w:eastAsia="en-GB"/>
        </w:rPr>
      </w:pPr>
      <w:r w:rsidRPr="004F065E">
        <w:rPr>
          <w:rFonts w:ascii="Times New Roman" w:eastAsia="Times New Roman" w:hAnsi="Times New Roman" w:cs="Times New Roman"/>
          <w:color w:val="000000" w:themeColor="text1"/>
          <w:sz w:val="24"/>
          <w:szCs w:val="24"/>
          <w:lang w:val="de-DE" w:eastAsia="en-GB"/>
        </w:rPr>
        <w:t xml:space="preserve">Um als staatliche Beihilfe zu gelten, muss eine Maßnahme vier kumulative Voraussetzungen erfüllen: </w:t>
      </w:r>
      <w:r w:rsidR="00E93293">
        <w:rPr>
          <w:rFonts w:ascii="Times New Roman" w:eastAsia="Times New Roman" w:hAnsi="Times New Roman" w:cs="Times New Roman"/>
          <w:color w:val="000000" w:themeColor="text1"/>
          <w:sz w:val="24"/>
          <w:szCs w:val="24"/>
          <w:lang w:val="de-DE" w:eastAsia="en-GB"/>
        </w:rPr>
        <w:t xml:space="preserve">a </w:t>
      </w:r>
      <w:r w:rsidR="008137B2" w:rsidRPr="004F065E">
        <w:rPr>
          <w:rFonts w:ascii="Times New Roman" w:eastAsia="Times New Roman" w:hAnsi="Times New Roman" w:cs="Times New Roman"/>
          <w:color w:val="000000" w:themeColor="text1"/>
          <w:sz w:val="24"/>
          <w:szCs w:val="24"/>
          <w:lang w:val="de-DE" w:eastAsia="en-GB"/>
        </w:rPr>
        <w:t xml:space="preserve">Es handelt sich um </w:t>
      </w:r>
      <w:r w:rsidRPr="004F065E">
        <w:rPr>
          <w:rFonts w:ascii="Times New Roman" w:eastAsia="Times New Roman" w:hAnsi="Times New Roman" w:cs="Times New Roman"/>
          <w:color w:val="000000" w:themeColor="text1"/>
          <w:sz w:val="24"/>
          <w:szCs w:val="24"/>
          <w:lang w:val="de-DE" w:eastAsia="en-GB"/>
        </w:rPr>
        <w:t>eine Maßnahme des Staates aus staatlichen Mitteln, die verschiedene Formen annehmen kann (</w:t>
      </w:r>
      <w:proofErr w:type="spellStart"/>
      <w:r w:rsidRPr="004F065E">
        <w:rPr>
          <w:rFonts w:ascii="Times New Roman" w:eastAsia="Times New Roman" w:hAnsi="Times New Roman" w:cs="Times New Roman"/>
          <w:color w:val="000000" w:themeColor="text1"/>
          <w:sz w:val="24"/>
          <w:szCs w:val="24"/>
          <w:lang w:val="de-DE" w:eastAsia="en-GB"/>
        </w:rPr>
        <w:t>zB</w:t>
      </w:r>
      <w:proofErr w:type="spellEnd"/>
      <w:r w:rsidRPr="004F065E">
        <w:rPr>
          <w:rFonts w:ascii="Times New Roman" w:eastAsia="Times New Roman" w:hAnsi="Times New Roman" w:cs="Times New Roman"/>
          <w:color w:val="000000" w:themeColor="text1"/>
          <w:sz w:val="24"/>
          <w:szCs w:val="24"/>
          <w:lang w:val="de-DE" w:eastAsia="en-GB"/>
        </w:rPr>
        <w:t xml:space="preserve"> Zuschüsse, Zins- und Steuererleichterungen, Garantien, staatliche Beteiligungen an der Gesamtheit oder einem Teil eines Unternehmens oder die Bereitstellung von Waren und Dienstleistungen zu Vorzugsbedingungen </w:t>
      </w:r>
      <w:proofErr w:type="spellStart"/>
      <w:r w:rsidRPr="004F065E">
        <w:rPr>
          <w:rFonts w:ascii="Times New Roman" w:eastAsia="Times New Roman" w:hAnsi="Times New Roman" w:cs="Times New Roman"/>
          <w:color w:val="000000" w:themeColor="text1"/>
          <w:sz w:val="24"/>
          <w:szCs w:val="24"/>
          <w:lang w:val="de-DE" w:eastAsia="en-GB"/>
        </w:rPr>
        <w:t>usw</w:t>
      </w:r>
      <w:proofErr w:type="spellEnd"/>
      <w:r w:rsidRPr="004F065E">
        <w:rPr>
          <w:rFonts w:ascii="Times New Roman" w:eastAsia="Times New Roman" w:hAnsi="Times New Roman" w:cs="Times New Roman"/>
          <w:color w:val="000000" w:themeColor="text1"/>
          <w:sz w:val="24"/>
          <w:szCs w:val="24"/>
          <w:lang w:val="de-DE" w:eastAsia="en-GB"/>
        </w:rPr>
        <w:t xml:space="preserve">); </w:t>
      </w:r>
      <w:r w:rsidR="00E93293">
        <w:rPr>
          <w:rFonts w:ascii="Times New Roman" w:eastAsia="Times New Roman" w:hAnsi="Times New Roman" w:cs="Times New Roman"/>
          <w:color w:val="000000" w:themeColor="text1"/>
          <w:sz w:val="24"/>
          <w:szCs w:val="24"/>
          <w:lang w:val="de-DE" w:eastAsia="en-GB"/>
        </w:rPr>
        <w:t xml:space="preserve">b </w:t>
      </w:r>
      <w:r w:rsidRPr="004F065E">
        <w:rPr>
          <w:rFonts w:ascii="Times New Roman" w:eastAsia="Times New Roman" w:hAnsi="Times New Roman" w:cs="Times New Roman"/>
          <w:color w:val="000000" w:themeColor="text1"/>
          <w:sz w:val="24"/>
          <w:szCs w:val="24"/>
          <w:lang w:val="de-DE" w:eastAsia="en-GB"/>
        </w:rPr>
        <w:t xml:space="preserve">die Maßnahme verschafft dem Empfänger selektiv einen Vorteil, </w:t>
      </w:r>
      <w:proofErr w:type="spellStart"/>
      <w:r w:rsidRPr="004F065E">
        <w:rPr>
          <w:rFonts w:ascii="Times New Roman" w:eastAsia="Times New Roman" w:hAnsi="Times New Roman" w:cs="Times New Roman"/>
          <w:color w:val="000000" w:themeColor="text1"/>
          <w:sz w:val="24"/>
          <w:szCs w:val="24"/>
          <w:lang w:val="de-DE" w:eastAsia="en-GB"/>
        </w:rPr>
        <w:t>zB</w:t>
      </w:r>
      <w:proofErr w:type="spellEnd"/>
      <w:r w:rsidRPr="004F065E">
        <w:rPr>
          <w:rFonts w:ascii="Times New Roman" w:eastAsia="Times New Roman" w:hAnsi="Times New Roman" w:cs="Times New Roman"/>
          <w:color w:val="000000" w:themeColor="text1"/>
          <w:sz w:val="24"/>
          <w:szCs w:val="24"/>
          <w:lang w:val="de-DE" w:eastAsia="en-GB"/>
        </w:rPr>
        <w:t xml:space="preserve"> bestimmten Unternehmen oder Wirtschaftszweigen oder Unternehmen in bestimmten Regionen; </w:t>
      </w:r>
      <w:r w:rsidR="00E93293">
        <w:rPr>
          <w:rFonts w:ascii="Times New Roman" w:eastAsia="Times New Roman" w:hAnsi="Times New Roman" w:cs="Times New Roman"/>
          <w:color w:val="000000" w:themeColor="text1"/>
          <w:sz w:val="24"/>
          <w:szCs w:val="24"/>
          <w:lang w:val="de-DE" w:eastAsia="en-GB"/>
        </w:rPr>
        <w:t xml:space="preserve">c </w:t>
      </w:r>
      <w:r w:rsidRPr="004F065E">
        <w:rPr>
          <w:rFonts w:ascii="Times New Roman" w:eastAsia="Times New Roman" w:hAnsi="Times New Roman" w:cs="Times New Roman"/>
          <w:color w:val="000000" w:themeColor="text1"/>
          <w:sz w:val="24"/>
          <w:szCs w:val="24"/>
          <w:lang w:val="de-DE" w:eastAsia="en-GB"/>
        </w:rPr>
        <w:t xml:space="preserve">der Wettbewerb </w:t>
      </w:r>
      <w:r w:rsidR="00B97637" w:rsidRPr="004F065E">
        <w:rPr>
          <w:rFonts w:ascii="Times New Roman" w:eastAsia="Times New Roman" w:hAnsi="Times New Roman" w:cs="Times New Roman"/>
          <w:color w:val="000000" w:themeColor="text1"/>
          <w:sz w:val="24"/>
          <w:szCs w:val="24"/>
          <w:lang w:val="de-DE" w:eastAsia="en-GB"/>
        </w:rPr>
        <w:t xml:space="preserve">ist </w:t>
      </w:r>
      <w:r w:rsidRPr="004F065E">
        <w:rPr>
          <w:rFonts w:ascii="Times New Roman" w:eastAsia="Times New Roman" w:hAnsi="Times New Roman" w:cs="Times New Roman"/>
          <w:color w:val="000000" w:themeColor="text1"/>
          <w:sz w:val="24"/>
          <w:szCs w:val="24"/>
          <w:lang w:val="de-DE" w:eastAsia="en-GB"/>
        </w:rPr>
        <w:t xml:space="preserve">dadurch verfälscht worden oder </w:t>
      </w:r>
      <w:r w:rsidR="00B97637" w:rsidRPr="004F065E">
        <w:rPr>
          <w:rFonts w:ascii="Times New Roman" w:eastAsia="Times New Roman" w:hAnsi="Times New Roman" w:cs="Times New Roman"/>
          <w:color w:val="000000" w:themeColor="text1"/>
          <w:sz w:val="24"/>
          <w:szCs w:val="24"/>
          <w:lang w:val="de-DE" w:eastAsia="en-GB"/>
        </w:rPr>
        <w:t xml:space="preserve">kann </w:t>
      </w:r>
      <w:r w:rsidRPr="004F065E">
        <w:rPr>
          <w:rFonts w:ascii="Times New Roman" w:eastAsia="Times New Roman" w:hAnsi="Times New Roman" w:cs="Times New Roman"/>
          <w:color w:val="000000" w:themeColor="text1"/>
          <w:sz w:val="24"/>
          <w:szCs w:val="24"/>
          <w:lang w:val="de-DE" w:eastAsia="en-GB"/>
        </w:rPr>
        <w:t xml:space="preserve">verfälscht werden; </w:t>
      </w:r>
      <w:r w:rsidR="00E93293">
        <w:rPr>
          <w:rFonts w:ascii="Times New Roman" w:eastAsia="Times New Roman" w:hAnsi="Times New Roman" w:cs="Times New Roman"/>
          <w:color w:val="000000" w:themeColor="text1"/>
          <w:sz w:val="24"/>
          <w:szCs w:val="24"/>
          <w:lang w:val="de-DE" w:eastAsia="en-GB"/>
        </w:rPr>
        <w:t xml:space="preserve">d </w:t>
      </w:r>
      <w:r w:rsidRPr="004F065E">
        <w:rPr>
          <w:rFonts w:ascii="Times New Roman" w:eastAsia="Times New Roman" w:hAnsi="Times New Roman" w:cs="Times New Roman"/>
          <w:color w:val="000000" w:themeColor="text1"/>
          <w:sz w:val="24"/>
          <w:szCs w:val="24"/>
          <w:lang w:val="de-DE" w:eastAsia="en-GB"/>
        </w:rPr>
        <w:t xml:space="preserve">und die Maßnahme </w:t>
      </w:r>
      <w:r w:rsidR="00B97637" w:rsidRPr="004F065E">
        <w:rPr>
          <w:rFonts w:ascii="Times New Roman" w:eastAsia="Times New Roman" w:hAnsi="Times New Roman" w:cs="Times New Roman"/>
          <w:color w:val="000000" w:themeColor="text1"/>
          <w:sz w:val="24"/>
          <w:szCs w:val="24"/>
          <w:lang w:val="de-DE" w:eastAsia="en-GB"/>
        </w:rPr>
        <w:t xml:space="preserve">ist </w:t>
      </w:r>
      <w:r w:rsidRPr="004F065E">
        <w:rPr>
          <w:rFonts w:ascii="Times New Roman" w:eastAsia="Times New Roman" w:hAnsi="Times New Roman" w:cs="Times New Roman"/>
          <w:color w:val="000000" w:themeColor="text1"/>
          <w:sz w:val="24"/>
          <w:szCs w:val="24"/>
          <w:lang w:val="de-DE" w:eastAsia="en-GB"/>
        </w:rPr>
        <w:t>geeignet, den Handel zwischen Mitgliedstaaten zu beeinträchtigen.</w:t>
      </w:r>
      <w:r w:rsidR="00866DBB" w:rsidRPr="004F065E">
        <w:rPr>
          <w:rFonts w:ascii="Times New Roman" w:eastAsia="Times New Roman" w:hAnsi="Times New Roman" w:cs="Times New Roman"/>
          <w:color w:val="000000" w:themeColor="text1"/>
          <w:sz w:val="24"/>
          <w:szCs w:val="24"/>
          <w:lang w:val="de-DE" w:eastAsia="en-GB"/>
        </w:rPr>
        <w:t xml:space="preserve"> </w:t>
      </w:r>
    </w:p>
    <w:p w14:paraId="4BDB9986" w14:textId="77777777" w:rsidR="00E93293" w:rsidRDefault="00E93293" w:rsidP="00F0434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de-DE" w:eastAsia="en-GB"/>
        </w:rPr>
      </w:pPr>
    </w:p>
    <w:p w14:paraId="1353A43D" w14:textId="77777777" w:rsidR="00E93293" w:rsidRDefault="0059586E" w:rsidP="00F04345">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sidRPr="004F065E">
        <w:rPr>
          <w:rFonts w:ascii="Times New Roman" w:eastAsia="Times New Roman" w:hAnsi="Times New Roman" w:cs="Times New Roman"/>
          <w:color w:val="000000" w:themeColor="text1"/>
          <w:sz w:val="24"/>
          <w:szCs w:val="24"/>
          <w:lang w:val="de-DE" w:eastAsia="en-GB"/>
        </w:rPr>
        <w:t xml:space="preserve">Grundsätzlich sind staatliche Beihilfen, </w:t>
      </w:r>
      <w:r w:rsidR="003709A0">
        <w:rPr>
          <w:rFonts w:ascii="Times New Roman" w:eastAsia="Times New Roman" w:hAnsi="Times New Roman" w:cs="Times New Roman"/>
          <w:color w:val="000000" w:themeColor="text1"/>
          <w:sz w:val="24"/>
          <w:szCs w:val="24"/>
          <w:lang w:val="de-DE" w:eastAsia="en-GB"/>
        </w:rPr>
        <w:t>welche</w:t>
      </w:r>
      <w:r w:rsidRPr="004F065E">
        <w:rPr>
          <w:rFonts w:ascii="Times New Roman" w:eastAsia="Times New Roman" w:hAnsi="Times New Roman" w:cs="Times New Roman"/>
          <w:color w:val="000000" w:themeColor="text1"/>
          <w:sz w:val="24"/>
          <w:szCs w:val="24"/>
          <w:lang w:val="de-DE" w:eastAsia="en-GB"/>
        </w:rPr>
        <w:t xml:space="preserve"> die Voraussetzungen des Art 107 Abs 1 erfüllen, verboten. </w:t>
      </w:r>
      <w:r w:rsidR="008137B2" w:rsidRPr="004F065E">
        <w:rPr>
          <w:rFonts w:ascii="Times New Roman" w:eastAsia="Times New Roman" w:hAnsi="Times New Roman" w:cs="Times New Roman"/>
          <w:color w:val="000000" w:themeColor="text1"/>
          <w:sz w:val="24"/>
          <w:szCs w:val="24"/>
          <w:lang w:val="de-DE" w:eastAsia="en-GB"/>
        </w:rPr>
        <w:t>D</w:t>
      </w:r>
      <w:r w:rsidRPr="004F065E">
        <w:rPr>
          <w:rFonts w:ascii="Times New Roman" w:eastAsia="Times New Roman" w:hAnsi="Times New Roman" w:cs="Times New Roman"/>
          <w:color w:val="000000" w:themeColor="text1"/>
          <w:sz w:val="24"/>
          <w:szCs w:val="24"/>
          <w:lang w:val="de-DE" w:eastAsia="en-GB"/>
        </w:rPr>
        <w:t xml:space="preserve">ieses Verbot </w:t>
      </w:r>
      <w:r w:rsidR="008137B2" w:rsidRPr="004F065E">
        <w:rPr>
          <w:rFonts w:ascii="Times New Roman" w:eastAsia="Times New Roman" w:hAnsi="Times New Roman" w:cs="Times New Roman"/>
          <w:color w:val="000000" w:themeColor="text1"/>
          <w:sz w:val="24"/>
          <w:szCs w:val="24"/>
          <w:lang w:val="de-DE" w:eastAsia="en-GB"/>
        </w:rPr>
        <w:t xml:space="preserve">wird </w:t>
      </w:r>
      <w:r w:rsidRPr="004F065E">
        <w:rPr>
          <w:rFonts w:ascii="Times New Roman" w:eastAsia="Times New Roman" w:hAnsi="Times New Roman" w:cs="Times New Roman"/>
          <w:color w:val="000000" w:themeColor="text1"/>
          <w:sz w:val="24"/>
          <w:szCs w:val="24"/>
          <w:lang w:val="de-DE" w:eastAsia="en-GB"/>
        </w:rPr>
        <w:t>durch eine Reihe von Ausnahmen gemäß Art 107 Abs 2 und 3 abgeschwächt. Die Zuständigkeit für die Anwendung und Durchsetzung von Art 107 AEUV wird der Kommission nach Art</w:t>
      </w:r>
      <w:r w:rsidR="007E558B">
        <w:rPr>
          <w:rFonts w:ascii="Times New Roman" w:eastAsia="Times New Roman" w:hAnsi="Times New Roman" w:cs="Times New Roman"/>
          <w:color w:val="000000" w:themeColor="text1"/>
          <w:sz w:val="24"/>
          <w:szCs w:val="24"/>
          <w:lang w:val="de-DE" w:eastAsia="en-GB"/>
        </w:rPr>
        <w:t xml:space="preserve"> </w:t>
      </w:r>
      <w:r w:rsidRPr="004F065E">
        <w:rPr>
          <w:rFonts w:ascii="Times New Roman" w:eastAsia="Times New Roman" w:hAnsi="Times New Roman" w:cs="Times New Roman"/>
          <w:color w:val="000000" w:themeColor="text1"/>
          <w:sz w:val="24"/>
          <w:szCs w:val="24"/>
          <w:lang w:val="de-DE" w:eastAsia="en-GB"/>
        </w:rPr>
        <w:t>108 AEUV übertragen. Di</w:t>
      </w:r>
      <w:r w:rsidR="001A1467" w:rsidRPr="004F065E">
        <w:rPr>
          <w:rFonts w:ascii="Times New Roman" w:eastAsia="Times New Roman" w:hAnsi="Times New Roman" w:cs="Times New Roman"/>
          <w:color w:val="000000" w:themeColor="text1"/>
          <w:sz w:val="24"/>
          <w:szCs w:val="24"/>
          <w:lang w:val="de-DE" w:eastAsia="en-GB"/>
        </w:rPr>
        <w:t>e</w:t>
      </w:r>
      <w:r w:rsidRPr="004F065E">
        <w:rPr>
          <w:rFonts w:ascii="Times New Roman" w:eastAsia="Times New Roman" w:hAnsi="Times New Roman" w:cs="Times New Roman"/>
          <w:color w:val="000000" w:themeColor="text1"/>
          <w:sz w:val="24"/>
          <w:szCs w:val="24"/>
          <w:lang w:val="de-DE" w:eastAsia="en-GB"/>
        </w:rPr>
        <w:t xml:space="preserve"> Bestimmung</w:t>
      </w:r>
      <w:r w:rsidR="001A1467" w:rsidRPr="004F065E">
        <w:rPr>
          <w:rFonts w:ascii="Times New Roman" w:eastAsia="Times New Roman" w:hAnsi="Times New Roman" w:cs="Times New Roman"/>
          <w:color w:val="000000" w:themeColor="text1"/>
          <w:sz w:val="24"/>
          <w:szCs w:val="24"/>
          <w:lang w:val="de-DE" w:eastAsia="en-GB"/>
        </w:rPr>
        <w:t>en</w:t>
      </w:r>
      <w:r w:rsidRPr="004F065E">
        <w:rPr>
          <w:rFonts w:ascii="Times New Roman" w:eastAsia="Times New Roman" w:hAnsi="Times New Roman" w:cs="Times New Roman"/>
          <w:color w:val="000000" w:themeColor="text1"/>
          <w:sz w:val="24"/>
          <w:szCs w:val="24"/>
          <w:lang w:val="de-DE" w:eastAsia="en-GB"/>
        </w:rPr>
        <w:t xml:space="preserve"> </w:t>
      </w:r>
      <w:r w:rsidR="001A1467" w:rsidRPr="004F065E">
        <w:rPr>
          <w:rFonts w:ascii="Times New Roman" w:eastAsia="Times New Roman" w:hAnsi="Times New Roman" w:cs="Times New Roman"/>
          <w:color w:val="000000" w:themeColor="text1"/>
          <w:sz w:val="24"/>
          <w:szCs w:val="24"/>
          <w:lang w:val="de-DE" w:eastAsia="en-GB"/>
        </w:rPr>
        <w:t>unterscheiden</w:t>
      </w:r>
      <w:r w:rsidRPr="004F065E">
        <w:rPr>
          <w:rFonts w:ascii="Times New Roman" w:eastAsia="Times New Roman" w:hAnsi="Times New Roman" w:cs="Times New Roman"/>
          <w:color w:val="000000" w:themeColor="text1"/>
          <w:sz w:val="24"/>
          <w:szCs w:val="24"/>
          <w:lang w:val="de-DE" w:eastAsia="en-GB"/>
        </w:rPr>
        <w:t xml:space="preserve"> zwischen bestehenden Beihilfen</w:t>
      </w:r>
      <w:r w:rsidR="001A1467" w:rsidRPr="004F065E">
        <w:rPr>
          <w:rFonts w:ascii="Times New Roman" w:eastAsia="Times New Roman" w:hAnsi="Times New Roman" w:cs="Times New Roman"/>
          <w:color w:val="000000" w:themeColor="text1"/>
          <w:sz w:val="24"/>
          <w:szCs w:val="24"/>
          <w:lang w:val="de-DE" w:eastAsia="en-GB"/>
        </w:rPr>
        <w:t xml:space="preserve">, </w:t>
      </w:r>
      <w:r w:rsidRPr="004F065E">
        <w:rPr>
          <w:rFonts w:ascii="Times New Roman" w:eastAsia="Times New Roman" w:hAnsi="Times New Roman" w:cs="Times New Roman"/>
          <w:color w:val="000000" w:themeColor="text1"/>
          <w:sz w:val="24"/>
          <w:szCs w:val="24"/>
          <w:lang w:val="de-DE" w:eastAsia="en-GB"/>
        </w:rPr>
        <w:t>die ständig überprüft werden, und neuen Beihilfen</w:t>
      </w:r>
      <w:r w:rsidR="001A1467" w:rsidRPr="004F065E">
        <w:rPr>
          <w:rFonts w:ascii="Times New Roman" w:eastAsia="Times New Roman" w:hAnsi="Times New Roman" w:cs="Times New Roman"/>
          <w:color w:val="000000" w:themeColor="text1"/>
          <w:sz w:val="24"/>
          <w:szCs w:val="24"/>
          <w:lang w:val="de-DE" w:eastAsia="en-GB"/>
        </w:rPr>
        <w:t xml:space="preserve">, </w:t>
      </w:r>
      <w:r w:rsidRPr="004F065E">
        <w:rPr>
          <w:rFonts w:ascii="Times New Roman" w:eastAsia="Times New Roman" w:hAnsi="Times New Roman" w:cs="Times New Roman"/>
          <w:color w:val="000000" w:themeColor="text1"/>
          <w:sz w:val="24"/>
          <w:szCs w:val="24"/>
          <w:lang w:val="de-DE" w:eastAsia="en-GB"/>
        </w:rPr>
        <w:t xml:space="preserve">die der Anmeldepflicht unterliegen. Darüber hinaus befreit die Allgemeine </w:t>
      </w:r>
      <w:r w:rsidRPr="00BB1D16">
        <w:rPr>
          <w:rFonts w:ascii="Times New Roman" w:eastAsia="Times New Roman" w:hAnsi="Times New Roman" w:cs="Times New Roman"/>
          <w:color w:val="242424"/>
          <w:sz w:val="24"/>
          <w:szCs w:val="24"/>
          <w:lang w:val="de-DE" w:eastAsia="en-GB"/>
        </w:rPr>
        <w:t xml:space="preserve">Gruppenfreistellungsverordnung (AGVO) Nr. 651/2014 vom 17. Juni 2014 neue Beihilfen, </w:t>
      </w:r>
      <w:r w:rsidR="003709A0">
        <w:rPr>
          <w:rFonts w:ascii="Times New Roman" w:eastAsia="Times New Roman" w:hAnsi="Times New Roman" w:cs="Times New Roman"/>
          <w:color w:val="242424"/>
          <w:sz w:val="24"/>
          <w:szCs w:val="24"/>
          <w:lang w:val="de-DE" w:eastAsia="en-GB"/>
        </w:rPr>
        <w:t>welche</w:t>
      </w:r>
      <w:r w:rsidRPr="00BB1D16">
        <w:rPr>
          <w:rFonts w:ascii="Times New Roman" w:eastAsia="Times New Roman" w:hAnsi="Times New Roman" w:cs="Times New Roman"/>
          <w:color w:val="242424"/>
          <w:sz w:val="24"/>
          <w:szCs w:val="24"/>
          <w:lang w:val="de-DE" w:eastAsia="en-GB"/>
        </w:rPr>
        <w:t xml:space="preserve"> die Freistellungskriterien erfüllen, von der Pflicht zur vorherigen Anmeldung.</w:t>
      </w:r>
      <w:r w:rsidR="00F04345">
        <w:rPr>
          <w:rFonts w:ascii="Times New Roman" w:eastAsia="Times New Roman" w:hAnsi="Times New Roman" w:cs="Times New Roman"/>
          <w:color w:val="242424"/>
          <w:sz w:val="24"/>
          <w:szCs w:val="24"/>
          <w:lang w:val="de-DE" w:eastAsia="en-GB"/>
        </w:rPr>
        <w:t xml:space="preserve"> </w:t>
      </w:r>
    </w:p>
    <w:p w14:paraId="77231061" w14:textId="77777777" w:rsidR="00E93293" w:rsidRDefault="00E93293" w:rsidP="00F04345">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70353958" w14:textId="157E8AF9" w:rsidR="0059586E" w:rsidRDefault="0059586E" w:rsidP="00F04345">
      <w:pPr>
        <w:shd w:val="clear" w:color="auto" w:fill="FFFFFF"/>
        <w:spacing w:after="0" w:line="240" w:lineRule="auto"/>
        <w:jc w:val="both"/>
        <w:textAlignment w:val="baseline"/>
        <w:rPr>
          <w:rFonts w:ascii="Times New Roman" w:hAnsi="Times New Roman" w:cs="Times New Roman"/>
          <w:color w:val="242424"/>
          <w:sz w:val="24"/>
          <w:szCs w:val="24"/>
          <w:shd w:val="clear" w:color="auto" w:fill="FFFFFF"/>
          <w:lang w:val="de-DE"/>
        </w:rPr>
      </w:pPr>
      <w:r w:rsidRPr="00BB1D16">
        <w:rPr>
          <w:rFonts w:ascii="Times New Roman" w:hAnsi="Times New Roman" w:cs="Times New Roman"/>
          <w:color w:val="242424"/>
          <w:sz w:val="24"/>
          <w:szCs w:val="24"/>
          <w:shd w:val="clear" w:color="auto" w:fill="FFFFFF"/>
          <w:lang w:val="de-DE"/>
        </w:rPr>
        <w:t>Das EU-Beihilferecht bietet kaum Handlungsmöglichkeit</w:t>
      </w:r>
      <w:r w:rsidR="005571E3">
        <w:rPr>
          <w:rFonts w:ascii="Times New Roman" w:hAnsi="Times New Roman" w:cs="Times New Roman"/>
          <w:color w:val="242424"/>
          <w:sz w:val="24"/>
          <w:szCs w:val="24"/>
          <w:shd w:val="clear" w:color="auto" w:fill="FFFFFF"/>
          <w:lang w:val="de-DE"/>
        </w:rPr>
        <w:t>en</w:t>
      </w:r>
      <w:r w:rsidRPr="00BB1D16">
        <w:rPr>
          <w:rFonts w:ascii="Times New Roman" w:hAnsi="Times New Roman" w:cs="Times New Roman"/>
          <w:color w:val="242424"/>
          <w:sz w:val="24"/>
          <w:szCs w:val="24"/>
          <w:shd w:val="clear" w:color="auto" w:fill="FFFFFF"/>
          <w:lang w:val="de-DE"/>
        </w:rPr>
        <w:t xml:space="preserve"> gegen finanzielle Vorteile, die ein Drittstaat einem industriellen Bieter verschafft, der in der EU bei öffentlichen Aufträgen </w:t>
      </w:r>
      <w:r>
        <w:rPr>
          <w:rFonts w:ascii="Times New Roman" w:hAnsi="Times New Roman" w:cs="Times New Roman"/>
          <w:color w:val="242424"/>
          <w:sz w:val="24"/>
          <w:szCs w:val="24"/>
          <w:shd w:val="clear" w:color="auto" w:fill="FFFFFF"/>
          <w:lang w:val="de-DE"/>
        </w:rPr>
        <w:t>mitbietet</w:t>
      </w:r>
      <w:r w:rsidRPr="00BB1D16">
        <w:rPr>
          <w:rFonts w:ascii="Times New Roman" w:hAnsi="Times New Roman" w:cs="Times New Roman"/>
          <w:color w:val="242424"/>
          <w:sz w:val="24"/>
          <w:szCs w:val="24"/>
          <w:shd w:val="clear" w:color="auto" w:fill="FFFFFF"/>
          <w:lang w:val="de-DE"/>
        </w:rPr>
        <w:t xml:space="preserve">. Erforderlich ist ein strenges Beihilferecht mit externer Dimension. Die Diskussion </w:t>
      </w:r>
      <w:r w:rsidR="00514317">
        <w:rPr>
          <w:rFonts w:ascii="Times New Roman" w:hAnsi="Times New Roman" w:cs="Times New Roman"/>
          <w:color w:val="242424"/>
          <w:sz w:val="24"/>
          <w:szCs w:val="24"/>
          <w:shd w:val="clear" w:color="auto" w:fill="FFFFFF"/>
          <w:lang w:val="de-DE"/>
        </w:rPr>
        <w:t>wird bereits geführt.</w:t>
      </w:r>
      <w:r w:rsidRPr="00BB1D16">
        <w:rPr>
          <w:rFonts w:ascii="Times New Roman" w:hAnsi="Times New Roman" w:cs="Times New Roman"/>
          <w:color w:val="242424"/>
          <w:sz w:val="24"/>
          <w:szCs w:val="24"/>
          <w:shd w:val="clear" w:color="auto" w:fill="FFFFFF"/>
          <w:lang w:val="de-DE"/>
        </w:rPr>
        <w:t xml:space="preserve"> (</w:t>
      </w:r>
      <w:proofErr w:type="spellStart"/>
      <w:r w:rsidRPr="00BB1D16">
        <w:rPr>
          <w:rFonts w:ascii="Times New Roman" w:hAnsi="Times New Roman" w:cs="Times New Roman"/>
          <w:color w:val="242424"/>
          <w:sz w:val="24"/>
          <w:szCs w:val="24"/>
          <w:shd w:val="clear" w:color="auto" w:fill="FFFFFF"/>
          <w:lang w:val="de-DE"/>
        </w:rPr>
        <w:t>zB</w:t>
      </w:r>
      <w:proofErr w:type="spellEnd"/>
      <w:r w:rsidRPr="00BB1D16">
        <w:rPr>
          <w:rFonts w:ascii="Times New Roman" w:hAnsi="Times New Roman" w:cs="Times New Roman"/>
          <w:color w:val="242424"/>
          <w:sz w:val="24"/>
          <w:szCs w:val="24"/>
          <w:shd w:val="clear" w:color="auto" w:fill="FFFFFF"/>
          <w:lang w:val="de-DE"/>
        </w:rPr>
        <w:t xml:space="preserve"> Solarmodule, Stahl, Mikroelektronik).</w:t>
      </w:r>
      <w:r>
        <w:rPr>
          <w:rStyle w:val="FootnoteReference"/>
          <w:rFonts w:ascii="Times New Roman" w:hAnsi="Times New Roman" w:cs="Times New Roman"/>
          <w:color w:val="242424"/>
          <w:sz w:val="24"/>
          <w:szCs w:val="24"/>
          <w:shd w:val="clear" w:color="auto" w:fill="FFFFFF"/>
          <w:lang w:val="de-DE"/>
        </w:rPr>
        <w:footnoteReference w:id="35"/>
      </w:r>
      <w:r w:rsidRPr="00BB1D16">
        <w:rPr>
          <w:rFonts w:ascii="Times New Roman" w:hAnsi="Times New Roman" w:cs="Times New Roman"/>
          <w:color w:val="242424"/>
          <w:sz w:val="24"/>
          <w:szCs w:val="24"/>
          <w:shd w:val="clear" w:color="auto" w:fill="FFFFFF"/>
          <w:lang w:val="de-DE"/>
        </w:rPr>
        <w:t xml:space="preserve"> </w:t>
      </w:r>
      <w:r>
        <w:rPr>
          <w:rFonts w:ascii="Times New Roman" w:hAnsi="Times New Roman" w:cs="Times New Roman"/>
          <w:color w:val="242424"/>
          <w:sz w:val="24"/>
          <w:szCs w:val="24"/>
          <w:shd w:val="clear" w:color="auto" w:fill="FFFFFF"/>
          <w:lang w:val="de-DE"/>
        </w:rPr>
        <w:t>D</w:t>
      </w:r>
      <w:r w:rsidRPr="00BB1D16">
        <w:rPr>
          <w:rFonts w:ascii="Times New Roman" w:hAnsi="Times New Roman" w:cs="Times New Roman"/>
          <w:color w:val="242424"/>
          <w:sz w:val="24"/>
          <w:szCs w:val="24"/>
          <w:shd w:val="clear" w:color="auto" w:fill="FFFFFF"/>
          <w:lang w:val="de-DE"/>
        </w:rPr>
        <w:t xml:space="preserve">as EU-Beihilferecht </w:t>
      </w:r>
      <w:r>
        <w:rPr>
          <w:rFonts w:ascii="Times New Roman" w:hAnsi="Times New Roman" w:cs="Times New Roman"/>
          <w:color w:val="242424"/>
          <w:sz w:val="24"/>
          <w:szCs w:val="24"/>
          <w:shd w:val="clear" w:color="auto" w:fill="FFFFFF"/>
          <w:lang w:val="de-DE"/>
        </w:rPr>
        <w:t xml:space="preserve">ist </w:t>
      </w:r>
      <w:r w:rsidRPr="00BB1D16">
        <w:rPr>
          <w:rFonts w:ascii="Times New Roman" w:hAnsi="Times New Roman" w:cs="Times New Roman"/>
          <w:color w:val="242424"/>
          <w:sz w:val="24"/>
          <w:szCs w:val="24"/>
          <w:shd w:val="clear" w:color="auto" w:fill="FFFFFF"/>
          <w:lang w:val="de-DE"/>
        </w:rPr>
        <w:t xml:space="preserve">auf den Binnenmarkt beschränkt. </w:t>
      </w:r>
      <w:r w:rsidR="001A1467" w:rsidRPr="00BB1D16">
        <w:rPr>
          <w:rFonts w:ascii="Times New Roman" w:hAnsi="Times New Roman" w:cs="Times New Roman"/>
          <w:color w:val="242424"/>
          <w:sz w:val="24"/>
          <w:szCs w:val="24"/>
          <w:shd w:val="clear" w:color="auto" w:fill="FFFFFF"/>
          <w:lang w:val="de-DE"/>
        </w:rPr>
        <w:t xml:space="preserve">Art 107 bis 109 AEUV </w:t>
      </w:r>
      <w:r w:rsidRPr="00BB1D16">
        <w:rPr>
          <w:rFonts w:ascii="Times New Roman" w:hAnsi="Times New Roman" w:cs="Times New Roman"/>
          <w:color w:val="242424"/>
          <w:sz w:val="24"/>
          <w:szCs w:val="24"/>
          <w:shd w:val="clear" w:color="auto" w:fill="FFFFFF"/>
          <w:lang w:val="de-DE"/>
        </w:rPr>
        <w:t>seh</w:t>
      </w:r>
      <w:r w:rsidR="001A1467">
        <w:rPr>
          <w:rFonts w:ascii="Times New Roman" w:hAnsi="Times New Roman" w:cs="Times New Roman"/>
          <w:color w:val="242424"/>
          <w:sz w:val="24"/>
          <w:szCs w:val="24"/>
          <w:shd w:val="clear" w:color="auto" w:fill="FFFFFF"/>
          <w:lang w:val="de-DE"/>
        </w:rPr>
        <w:t>en</w:t>
      </w:r>
      <w:r w:rsidRPr="00BB1D16">
        <w:rPr>
          <w:rFonts w:ascii="Times New Roman" w:hAnsi="Times New Roman" w:cs="Times New Roman"/>
          <w:color w:val="242424"/>
          <w:sz w:val="24"/>
          <w:szCs w:val="24"/>
          <w:shd w:val="clear" w:color="auto" w:fill="FFFFFF"/>
          <w:lang w:val="de-DE"/>
        </w:rPr>
        <w:t xml:space="preserve"> eine extraterritoriale Wirkung des EU-Beihilferechts bewusst nicht vor.</w:t>
      </w:r>
      <w:r>
        <w:rPr>
          <w:rStyle w:val="FootnoteReference"/>
          <w:rFonts w:ascii="Times New Roman" w:hAnsi="Times New Roman" w:cs="Times New Roman"/>
          <w:color w:val="242424"/>
          <w:sz w:val="24"/>
          <w:szCs w:val="24"/>
          <w:shd w:val="clear" w:color="auto" w:fill="FFFFFF"/>
          <w:lang w:val="de-DE"/>
        </w:rPr>
        <w:footnoteReference w:id="36"/>
      </w:r>
    </w:p>
    <w:p w14:paraId="22896436" w14:textId="77777777" w:rsidR="00F43A79" w:rsidRPr="00BB1D16" w:rsidRDefault="00F43A79" w:rsidP="00F04345">
      <w:pPr>
        <w:shd w:val="clear" w:color="auto" w:fill="FFFFFF"/>
        <w:spacing w:after="0" w:line="240" w:lineRule="auto"/>
        <w:jc w:val="both"/>
        <w:textAlignment w:val="baseline"/>
        <w:rPr>
          <w:rFonts w:ascii="Times New Roman" w:hAnsi="Times New Roman" w:cs="Times New Roman"/>
          <w:color w:val="242424"/>
          <w:sz w:val="24"/>
          <w:szCs w:val="24"/>
          <w:shd w:val="clear" w:color="auto" w:fill="FFFFFF"/>
          <w:lang w:val="de-DE"/>
        </w:rPr>
      </w:pPr>
    </w:p>
    <w:p w14:paraId="5980B32A" w14:textId="1A907F3F" w:rsidR="00F43A79" w:rsidRPr="002824D4" w:rsidRDefault="00F43A79" w:rsidP="00F43A79">
      <w:pPr>
        <w:jc w:val="both"/>
        <w:rPr>
          <w:rFonts w:ascii="Times New Roman" w:eastAsia="Times New Roman" w:hAnsi="Times New Roman" w:cs="Times New Roman"/>
          <w:sz w:val="24"/>
          <w:szCs w:val="24"/>
          <w:lang w:val="de-DE"/>
        </w:rPr>
      </w:pPr>
      <w:r w:rsidRPr="002824D4">
        <w:rPr>
          <w:rFonts w:ascii="Times New Roman" w:eastAsia="Times New Roman" w:hAnsi="Times New Roman" w:cs="Times New Roman"/>
          <w:sz w:val="24"/>
          <w:szCs w:val="24"/>
          <w:lang w:val="de-DE"/>
        </w:rPr>
        <w:t xml:space="preserve">Aufgrund des zunehmenden Globalisierungsprozesses und der Öffnung der Märkte wird von der </w:t>
      </w:r>
      <w:r>
        <w:rPr>
          <w:rFonts w:ascii="Times New Roman" w:eastAsia="Times New Roman" w:hAnsi="Times New Roman" w:cs="Times New Roman"/>
          <w:sz w:val="24"/>
          <w:szCs w:val="24"/>
          <w:lang w:val="de-DE"/>
        </w:rPr>
        <w:t xml:space="preserve">Europäischen </w:t>
      </w:r>
      <w:r w:rsidRPr="002824D4">
        <w:rPr>
          <w:rFonts w:ascii="Times New Roman" w:eastAsia="Times New Roman" w:hAnsi="Times New Roman" w:cs="Times New Roman"/>
          <w:sz w:val="24"/>
          <w:szCs w:val="24"/>
          <w:lang w:val="de-DE"/>
        </w:rPr>
        <w:t>Kommission</w:t>
      </w:r>
      <w:r>
        <w:rPr>
          <w:rStyle w:val="FootnoteReference"/>
          <w:rFonts w:ascii="Times New Roman" w:eastAsia="Times New Roman" w:hAnsi="Times New Roman" w:cs="Times New Roman"/>
          <w:sz w:val="24"/>
          <w:szCs w:val="24"/>
          <w:lang w:val="de-DE"/>
        </w:rPr>
        <w:footnoteReference w:id="37"/>
      </w:r>
      <w:r>
        <w:rPr>
          <w:rFonts w:ascii="Times New Roman" w:eastAsia="Times New Roman" w:hAnsi="Times New Roman" w:cs="Times New Roman"/>
          <w:sz w:val="24"/>
          <w:szCs w:val="24"/>
          <w:lang w:val="de-DE"/>
        </w:rPr>
        <w:t xml:space="preserve"> </w:t>
      </w:r>
      <w:r w:rsidR="00BF452D">
        <w:rPr>
          <w:rFonts w:ascii="Times New Roman" w:eastAsia="Times New Roman" w:hAnsi="Times New Roman" w:cs="Times New Roman"/>
          <w:sz w:val="24"/>
          <w:szCs w:val="24"/>
          <w:lang w:val="de-DE"/>
        </w:rPr>
        <w:t xml:space="preserve">daher das Ziel verfolgt, </w:t>
      </w:r>
      <w:r>
        <w:rPr>
          <w:rFonts w:ascii="Times New Roman" w:eastAsia="Times New Roman" w:hAnsi="Times New Roman" w:cs="Times New Roman"/>
          <w:sz w:val="24"/>
          <w:szCs w:val="24"/>
          <w:lang w:val="de-DE"/>
        </w:rPr>
        <w:t xml:space="preserve">in </w:t>
      </w:r>
      <w:r w:rsidRPr="002824D4">
        <w:rPr>
          <w:rFonts w:ascii="Times New Roman" w:eastAsia="Times New Roman" w:hAnsi="Times New Roman" w:cs="Times New Roman"/>
          <w:sz w:val="24"/>
          <w:szCs w:val="24"/>
          <w:lang w:val="de-DE"/>
        </w:rPr>
        <w:t xml:space="preserve">Handelsabkommen </w:t>
      </w:r>
      <w:r w:rsidR="0046607D" w:rsidRPr="002824D4">
        <w:rPr>
          <w:rFonts w:ascii="Times New Roman" w:eastAsia="Times New Roman" w:hAnsi="Times New Roman" w:cs="Times New Roman"/>
          <w:sz w:val="24"/>
          <w:szCs w:val="24"/>
          <w:lang w:val="de-DE"/>
        </w:rPr>
        <w:t xml:space="preserve">mit Drittstaaten </w:t>
      </w:r>
      <w:r w:rsidRPr="002824D4">
        <w:rPr>
          <w:rFonts w:ascii="Times New Roman" w:eastAsia="Times New Roman" w:hAnsi="Times New Roman" w:cs="Times New Roman"/>
          <w:sz w:val="24"/>
          <w:szCs w:val="24"/>
          <w:lang w:val="de-DE"/>
        </w:rPr>
        <w:t>beihilfenrechtliche Regelungen</w:t>
      </w:r>
      <w:r>
        <w:rPr>
          <w:rStyle w:val="FootnoteReference"/>
          <w:rFonts w:ascii="Times New Roman" w:eastAsia="Times New Roman" w:hAnsi="Times New Roman" w:cs="Times New Roman"/>
          <w:sz w:val="24"/>
          <w:szCs w:val="24"/>
          <w:lang w:val="de-DE"/>
        </w:rPr>
        <w:footnoteReference w:id="38"/>
      </w:r>
      <w:r>
        <w:rPr>
          <w:rFonts w:ascii="Times New Roman" w:eastAsia="Times New Roman" w:hAnsi="Times New Roman" w:cs="Times New Roman"/>
          <w:sz w:val="24"/>
          <w:szCs w:val="24"/>
          <w:lang w:val="de-DE"/>
        </w:rPr>
        <w:t xml:space="preserve"> </w:t>
      </w:r>
      <w:r w:rsidRPr="002824D4">
        <w:rPr>
          <w:rFonts w:ascii="Times New Roman" w:eastAsia="Times New Roman" w:hAnsi="Times New Roman" w:cs="Times New Roman"/>
          <w:sz w:val="24"/>
          <w:szCs w:val="24"/>
          <w:lang w:val="de-DE"/>
        </w:rPr>
        <w:t xml:space="preserve">einzuführen und sich auf Wettbewerbsregeln zu </w:t>
      </w:r>
      <w:r w:rsidRPr="002824D4">
        <w:rPr>
          <w:rFonts w:ascii="Times New Roman" w:eastAsia="Times New Roman" w:hAnsi="Times New Roman" w:cs="Times New Roman"/>
          <w:sz w:val="24"/>
          <w:szCs w:val="24"/>
          <w:lang w:val="de-DE"/>
        </w:rPr>
        <w:lastRenderedPageBreak/>
        <w:t>einigen. Erwähnenswert ist, dass im Art</w:t>
      </w:r>
      <w:r>
        <w:rPr>
          <w:rFonts w:ascii="Times New Roman" w:eastAsia="Times New Roman" w:hAnsi="Times New Roman" w:cs="Times New Roman"/>
          <w:sz w:val="24"/>
          <w:szCs w:val="24"/>
          <w:lang w:val="de-DE"/>
        </w:rPr>
        <w:t xml:space="preserve"> </w:t>
      </w:r>
      <w:r w:rsidRPr="002824D4">
        <w:rPr>
          <w:rFonts w:ascii="Times New Roman" w:eastAsia="Times New Roman" w:hAnsi="Times New Roman" w:cs="Times New Roman"/>
          <w:sz w:val="24"/>
          <w:szCs w:val="24"/>
          <w:lang w:val="de-DE"/>
        </w:rPr>
        <w:t>61 des EWR-Abkommens eine Parallelregelung zu den Art</w:t>
      </w:r>
      <w:r>
        <w:rPr>
          <w:rFonts w:ascii="Times New Roman" w:eastAsia="Times New Roman" w:hAnsi="Times New Roman" w:cs="Times New Roman"/>
          <w:sz w:val="24"/>
          <w:szCs w:val="24"/>
          <w:lang w:val="de-DE"/>
        </w:rPr>
        <w:t xml:space="preserve"> </w:t>
      </w:r>
      <w:r w:rsidRPr="002824D4">
        <w:rPr>
          <w:rFonts w:ascii="Times New Roman" w:eastAsia="Times New Roman" w:hAnsi="Times New Roman" w:cs="Times New Roman"/>
          <w:sz w:val="24"/>
          <w:szCs w:val="24"/>
          <w:lang w:val="de-DE"/>
        </w:rPr>
        <w:t>107</w:t>
      </w:r>
      <w:r>
        <w:rPr>
          <w:rFonts w:ascii="Times New Roman" w:eastAsia="Times New Roman" w:hAnsi="Times New Roman" w:cs="Times New Roman"/>
          <w:sz w:val="24"/>
          <w:szCs w:val="24"/>
          <w:lang w:val="de-DE"/>
        </w:rPr>
        <w:t xml:space="preserve"> </w:t>
      </w:r>
      <w:r w:rsidRPr="002824D4">
        <w:rPr>
          <w:rFonts w:ascii="Times New Roman" w:eastAsia="Times New Roman" w:hAnsi="Times New Roman" w:cs="Times New Roman"/>
          <w:sz w:val="24"/>
          <w:szCs w:val="24"/>
          <w:lang w:val="de-DE"/>
        </w:rPr>
        <w:t>ff AEUV besteht.</w:t>
      </w:r>
      <w:r>
        <w:rPr>
          <w:rStyle w:val="FootnoteReference"/>
          <w:rFonts w:ascii="Times New Roman" w:eastAsia="Times New Roman" w:hAnsi="Times New Roman" w:cs="Times New Roman"/>
          <w:sz w:val="24"/>
          <w:szCs w:val="24"/>
          <w:lang w:val="de-DE"/>
        </w:rPr>
        <w:footnoteReference w:id="39"/>
      </w:r>
    </w:p>
    <w:p w14:paraId="44E5DBE1" w14:textId="69771B9C" w:rsidR="0059586E" w:rsidRDefault="0059586E" w:rsidP="00122481">
      <w:pPr>
        <w:jc w:val="both"/>
        <w:rPr>
          <w:rFonts w:ascii="Times New Roman" w:eastAsia="Times New Roman" w:hAnsi="Times New Roman" w:cs="Times New Roman"/>
          <w:sz w:val="24"/>
          <w:szCs w:val="24"/>
          <w:lang w:val="de-DE"/>
        </w:rPr>
      </w:pPr>
      <w:r w:rsidRPr="00613621">
        <w:rPr>
          <w:rFonts w:ascii="Times New Roman" w:hAnsi="Times New Roman" w:cs="Times New Roman"/>
          <w:color w:val="242424"/>
          <w:sz w:val="24"/>
          <w:szCs w:val="24"/>
          <w:shd w:val="clear" w:color="auto" w:fill="FFFFFF"/>
          <w:lang w:val="de-DE"/>
        </w:rPr>
        <w:t>Wettbewerbsbestimmungen</w:t>
      </w:r>
      <w:r w:rsidRPr="00724EDF">
        <w:rPr>
          <w:rFonts w:ascii="Times New Roman" w:eastAsia="Times New Roman" w:hAnsi="Times New Roman" w:cs="Times New Roman"/>
          <w:sz w:val="24"/>
          <w:szCs w:val="24"/>
          <w:lang w:val="de-DE"/>
        </w:rPr>
        <w:t xml:space="preserve"> und Regelungen zum Beihilfenrecht finden sich in vielen </w:t>
      </w:r>
      <w:r w:rsidR="001A1467">
        <w:rPr>
          <w:rFonts w:ascii="Times New Roman" w:eastAsia="Times New Roman" w:hAnsi="Times New Roman" w:cs="Times New Roman"/>
          <w:sz w:val="24"/>
          <w:szCs w:val="24"/>
          <w:lang w:val="de-DE"/>
        </w:rPr>
        <w:t>Handelsa</w:t>
      </w:r>
      <w:r w:rsidRPr="00724EDF">
        <w:rPr>
          <w:rFonts w:ascii="Times New Roman" w:eastAsia="Times New Roman" w:hAnsi="Times New Roman" w:cs="Times New Roman"/>
          <w:sz w:val="24"/>
          <w:szCs w:val="24"/>
          <w:lang w:val="de-DE"/>
        </w:rPr>
        <w:t>bkommen</w:t>
      </w:r>
      <w:r>
        <w:rPr>
          <w:rFonts w:ascii="Times New Roman" w:eastAsia="Times New Roman" w:hAnsi="Times New Roman" w:cs="Times New Roman"/>
          <w:sz w:val="24"/>
          <w:szCs w:val="24"/>
          <w:lang w:val="de-DE"/>
        </w:rPr>
        <w:t>.</w:t>
      </w:r>
      <w:r>
        <w:rPr>
          <w:rStyle w:val="FootnoteReference"/>
          <w:rFonts w:ascii="Times New Roman" w:eastAsia="Times New Roman" w:hAnsi="Times New Roman" w:cs="Times New Roman"/>
          <w:sz w:val="24"/>
          <w:szCs w:val="24"/>
          <w:lang w:val="de-DE"/>
        </w:rPr>
        <w:footnoteReference w:id="40"/>
      </w:r>
      <w:r>
        <w:rPr>
          <w:rFonts w:ascii="Times New Roman" w:eastAsia="Times New Roman" w:hAnsi="Times New Roman" w:cs="Times New Roman"/>
          <w:sz w:val="24"/>
          <w:szCs w:val="24"/>
          <w:lang w:val="de-DE"/>
        </w:rPr>
        <w:t xml:space="preserve"> Beispiel</w:t>
      </w:r>
      <w:r w:rsidR="00392A35">
        <w:rPr>
          <w:rFonts w:ascii="Times New Roman" w:eastAsia="Times New Roman" w:hAnsi="Times New Roman" w:cs="Times New Roman"/>
          <w:sz w:val="24"/>
          <w:szCs w:val="24"/>
          <w:lang w:val="de-DE"/>
        </w:rPr>
        <w:t>e sind</w:t>
      </w:r>
      <w:r>
        <w:rPr>
          <w:rFonts w:ascii="Times New Roman" w:eastAsia="Times New Roman" w:hAnsi="Times New Roman" w:cs="Times New Roman"/>
          <w:sz w:val="24"/>
          <w:szCs w:val="24"/>
          <w:lang w:val="de-DE"/>
        </w:rPr>
        <w:t xml:space="preserve"> die</w:t>
      </w:r>
      <w:r w:rsidRPr="00F66DDC">
        <w:rPr>
          <w:rFonts w:ascii="Times New Roman" w:eastAsia="Times New Roman" w:hAnsi="Times New Roman" w:cs="Times New Roman"/>
          <w:sz w:val="24"/>
          <w:szCs w:val="24"/>
          <w:lang w:val="de-DE"/>
        </w:rPr>
        <w:t xml:space="preserve"> Abkommen </w:t>
      </w:r>
      <w:r>
        <w:rPr>
          <w:rFonts w:ascii="Times New Roman" w:eastAsia="Times New Roman" w:hAnsi="Times New Roman" w:cs="Times New Roman"/>
          <w:sz w:val="24"/>
          <w:szCs w:val="24"/>
          <w:lang w:val="de-DE"/>
        </w:rPr>
        <w:t xml:space="preserve">mit der </w:t>
      </w:r>
      <w:r w:rsidRPr="00F66DDC">
        <w:rPr>
          <w:rFonts w:ascii="Times New Roman" w:eastAsia="Times New Roman" w:hAnsi="Times New Roman" w:cs="Times New Roman"/>
          <w:sz w:val="24"/>
          <w:szCs w:val="24"/>
          <w:lang w:val="de-DE"/>
        </w:rPr>
        <w:t>Schweiz</w:t>
      </w:r>
      <w:r>
        <w:rPr>
          <w:rFonts w:ascii="Times New Roman" w:eastAsia="Times New Roman" w:hAnsi="Times New Roman" w:cs="Times New Roman"/>
          <w:sz w:val="24"/>
          <w:szCs w:val="24"/>
          <w:lang w:val="de-DE"/>
        </w:rPr>
        <w:t xml:space="preserve"> und dem Vereinigten Königreich sowie das geplante Investitionsabkommen mit der Volksrepublik China. In all diesen drei Abkommen</w:t>
      </w:r>
      <w:r w:rsidRPr="00F66DDC">
        <w:rPr>
          <w:rFonts w:ascii="Times New Roman" w:eastAsia="Times New Roman" w:hAnsi="Times New Roman" w:cs="Times New Roman"/>
          <w:sz w:val="24"/>
          <w:szCs w:val="24"/>
          <w:lang w:val="de-DE"/>
        </w:rPr>
        <w:t xml:space="preserve"> sind Regelungen</w:t>
      </w:r>
      <w:r w:rsidR="0065085F">
        <w:rPr>
          <w:rFonts w:ascii="Times New Roman" w:eastAsia="Times New Roman" w:hAnsi="Times New Roman" w:cs="Times New Roman"/>
          <w:sz w:val="24"/>
          <w:szCs w:val="24"/>
          <w:lang w:val="de-DE"/>
        </w:rPr>
        <w:t xml:space="preserve"> </w:t>
      </w:r>
      <w:r w:rsidRPr="00F66DDC">
        <w:rPr>
          <w:rFonts w:ascii="Times New Roman" w:eastAsia="Times New Roman" w:hAnsi="Times New Roman" w:cs="Times New Roman"/>
          <w:sz w:val="24"/>
          <w:szCs w:val="24"/>
          <w:lang w:val="de-DE"/>
        </w:rPr>
        <w:t>für den Marktzugang</w:t>
      </w:r>
      <w:r w:rsidR="0065085F" w:rsidRPr="0065085F">
        <w:rPr>
          <w:rFonts w:ascii="Times New Roman" w:eastAsia="Times New Roman" w:hAnsi="Times New Roman" w:cs="Times New Roman"/>
          <w:sz w:val="24"/>
          <w:szCs w:val="24"/>
          <w:lang w:val="de-DE"/>
        </w:rPr>
        <w:t xml:space="preserve"> </w:t>
      </w:r>
      <w:r w:rsidR="0065085F" w:rsidRPr="00F66DDC">
        <w:rPr>
          <w:rFonts w:ascii="Times New Roman" w:eastAsia="Times New Roman" w:hAnsi="Times New Roman" w:cs="Times New Roman"/>
          <w:sz w:val="24"/>
          <w:szCs w:val="24"/>
          <w:lang w:val="de-DE"/>
        </w:rPr>
        <w:t>vorgesehen</w:t>
      </w:r>
      <w:r w:rsidR="0065085F">
        <w:rPr>
          <w:rFonts w:ascii="Times New Roman" w:eastAsia="Times New Roman" w:hAnsi="Times New Roman" w:cs="Times New Roman"/>
          <w:sz w:val="24"/>
          <w:szCs w:val="24"/>
          <w:lang w:val="de-DE"/>
        </w:rPr>
        <w:t xml:space="preserve">. </w:t>
      </w:r>
    </w:p>
    <w:p w14:paraId="7AAF594B" w14:textId="181843EF" w:rsidR="0059586E" w:rsidRPr="00724EDF" w:rsidRDefault="00BF452D" w:rsidP="00866DBB">
      <w:pPr>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W</w:t>
      </w:r>
      <w:r w:rsidR="0059586E" w:rsidRPr="00724EDF">
        <w:rPr>
          <w:rFonts w:ascii="Times New Roman" w:eastAsia="Times New Roman" w:hAnsi="Times New Roman" w:cs="Times New Roman"/>
          <w:sz w:val="24"/>
          <w:szCs w:val="24"/>
          <w:lang w:val="de-DE"/>
        </w:rPr>
        <w:t xml:space="preserve">eitere </w:t>
      </w:r>
      <w:r>
        <w:rPr>
          <w:rFonts w:ascii="Times New Roman" w:eastAsia="Times New Roman" w:hAnsi="Times New Roman" w:cs="Times New Roman"/>
          <w:sz w:val="24"/>
          <w:szCs w:val="24"/>
          <w:lang w:val="de-DE"/>
        </w:rPr>
        <w:t>Elemente</w:t>
      </w:r>
      <w:r w:rsidR="0059586E" w:rsidRPr="00724EDF">
        <w:rPr>
          <w:rFonts w:ascii="Times New Roman" w:eastAsia="Times New Roman" w:hAnsi="Times New Roman" w:cs="Times New Roman"/>
          <w:sz w:val="24"/>
          <w:szCs w:val="24"/>
          <w:lang w:val="de-DE"/>
        </w:rPr>
        <w:t xml:space="preserve"> </w:t>
      </w:r>
      <w:r w:rsidR="0046607D">
        <w:rPr>
          <w:rFonts w:ascii="Times New Roman" w:eastAsia="Times New Roman" w:hAnsi="Times New Roman" w:cs="Times New Roman"/>
          <w:sz w:val="24"/>
          <w:szCs w:val="24"/>
          <w:lang w:val="de-DE"/>
        </w:rPr>
        <w:t>dies</w:t>
      </w:r>
      <w:r w:rsidR="0059586E" w:rsidRPr="00724EDF">
        <w:rPr>
          <w:rFonts w:ascii="Times New Roman" w:eastAsia="Times New Roman" w:hAnsi="Times New Roman" w:cs="Times New Roman"/>
          <w:sz w:val="24"/>
          <w:szCs w:val="24"/>
          <w:lang w:val="de-DE"/>
        </w:rPr>
        <w:t xml:space="preserve">er Gesamtstrategie </w:t>
      </w:r>
      <w:r>
        <w:rPr>
          <w:rFonts w:ascii="Times New Roman" w:eastAsia="Times New Roman" w:hAnsi="Times New Roman" w:cs="Times New Roman"/>
          <w:sz w:val="24"/>
          <w:szCs w:val="24"/>
          <w:lang w:val="de-DE"/>
        </w:rPr>
        <w:t>sind</w:t>
      </w:r>
      <w:r w:rsidR="0059586E" w:rsidRPr="00724EDF">
        <w:rPr>
          <w:rFonts w:ascii="Times New Roman" w:eastAsia="Times New Roman" w:hAnsi="Times New Roman" w:cs="Times New Roman"/>
          <w:sz w:val="24"/>
          <w:szCs w:val="24"/>
          <w:lang w:val="de-DE"/>
        </w:rPr>
        <w:t xml:space="preserve"> der Ausbau unilateraler Instrumente zum Schutz des Wettbewerbs in der EU. Dazu zähl</w:t>
      </w:r>
      <w:r w:rsidR="002479EA">
        <w:rPr>
          <w:rFonts w:ascii="Times New Roman" w:eastAsia="Times New Roman" w:hAnsi="Times New Roman" w:cs="Times New Roman"/>
          <w:sz w:val="24"/>
          <w:szCs w:val="24"/>
          <w:lang w:val="de-DE"/>
        </w:rPr>
        <w:t>t</w:t>
      </w:r>
      <w:r w:rsidR="0059586E" w:rsidRPr="00724EDF">
        <w:rPr>
          <w:rFonts w:ascii="Times New Roman" w:eastAsia="Times New Roman" w:hAnsi="Times New Roman" w:cs="Times New Roman"/>
          <w:sz w:val="24"/>
          <w:szCs w:val="24"/>
          <w:lang w:val="de-DE"/>
        </w:rPr>
        <w:t xml:space="preserve"> vor allem die </w:t>
      </w:r>
      <w:r w:rsidR="00866DBB" w:rsidRPr="00866DBB">
        <w:rPr>
          <w:rFonts w:ascii="Times New Roman" w:eastAsia="Times New Roman" w:hAnsi="Times New Roman" w:cs="Times New Roman"/>
          <w:sz w:val="24"/>
          <w:szCs w:val="24"/>
          <w:lang w:val="de-DE"/>
        </w:rPr>
        <w:t xml:space="preserve">EU-Verordnung zum International </w:t>
      </w:r>
      <w:proofErr w:type="spellStart"/>
      <w:r w:rsidR="00866DBB" w:rsidRPr="00866DBB">
        <w:rPr>
          <w:rFonts w:ascii="Times New Roman" w:eastAsia="Times New Roman" w:hAnsi="Times New Roman" w:cs="Times New Roman"/>
          <w:sz w:val="24"/>
          <w:szCs w:val="24"/>
          <w:lang w:val="de-DE"/>
        </w:rPr>
        <w:t>Procurement</w:t>
      </w:r>
      <w:proofErr w:type="spellEnd"/>
      <w:r w:rsidR="00866DBB" w:rsidRPr="00866DBB">
        <w:rPr>
          <w:rFonts w:ascii="Times New Roman" w:eastAsia="Times New Roman" w:hAnsi="Times New Roman" w:cs="Times New Roman"/>
          <w:sz w:val="24"/>
          <w:szCs w:val="24"/>
          <w:lang w:val="de-DE"/>
        </w:rPr>
        <w:t xml:space="preserve"> Instrument</w:t>
      </w:r>
      <w:r w:rsidR="00817F8D">
        <w:rPr>
          <w:rFonts w:ascii="Times New Roman" w:eastAsia="Times New Roman" w:hAnsi="Times New Roman" w:cs="Times New Roman"/>
          <w:sz w:val="24"/>
          <w:szCs w:val="24"/>
          <w:lang w:val="de-DE"/>
        </w:rPr>
        <w:t xml:space="preserve"> </w:t>
      </w:r>
      <w:r w:rsidR="00F43A79">
        <w:rPr>
          <w:rFonts w:ascii="Times New Roman" w:eastAsia="Times New Roman" w:hAnsi="Times New Roman" w:cs="Times New Roman"/>
          <w:sz w:val="24"/>
          <w:szCs w:val="24"/>
          <w:lang w:val="de-DE"/>
        </w:rPr>
        <w:t>(</w:t>
      </w:r>
      <w:r w:rsidR="00866DBB" w:rsidRPr="00724EDF">
        <w:rPr>
          <w:rFonts w:ascii="Times New Roman" w:eastAsia="Times New Roman" w:hAnsi="Times New Roman" w:cs="Times New Roman"/>
          <w:sz w:val="24"/>
          <w:szCs w:val="24"/>
          <w:lang w:val="de-DE"/>
        </w:rPr>
        <w:t>IPI)</w:t>
      </w:r>
      <w:r w:rsidR="00817F8D">
        <w:rPr>
          <w:rFonts w:ascii="Times New Roman" w:eastAsia="Times New Roman" w:hAnsi="Times New Roman" w:cs="Times New Roman"/>
          <w:sz w:val="24"/>
          <w:szCs w:val="24"/>
          <w:lang w:val="de-DE"/>
        </w:rPr>
        <w:t>.</w:t>
      </w:r>
      <w:r w:rsidR="00866DBB">
        <w:rPr>
          <w:rStyle w:val="FootnoteReference"/>
          <w:rFonts w:ascii="Times New Roman" w:eastAsia="Times New Roman" w:hAnsi="Times New Roman" w:cs="Times New Roman"/>
          <w:sz w:val="24"/>
          <w:szCs w:val="24"/>
          <w:lang w:val="de-DE"/>
        </w:rPr>
        <w:footnoteReference w:id="41"/>
      </w:r>
      <w:r w:rsidR="00866DBB">
        <w:rPr>
          <w:rFonts w:ascii="Times New Roman" w:eastAsia="Times New Roman" w:hAnsi="Times New Roman" w:cs="Times New Roman"/>
          <w:sz w:val="24"/>
          <w:szCs w:val="24"/>
          <w:lang w:val="de-DE"/>
        </w:rPr>
        <w:t xml:space="preserve"> </w:t>
      </w:r>
      <w:r w:rsidR="00866DBB" w:rsidRPr="00866DBB">
        <w:rPr>
          <w:rFonts w:ascii="Times New Roman" w:eastAsia="Times New Roman" w:hAnsi="Times New Roman" w:cs="Times New Roman"/>
          <w:sz w:val="24"/>
          <w:szCs w:val="24"/>
          <w:lang w:val="de-DE"/>
        </w:rPr>
        <w:t xml:space="preserve">Die EU darf Drittländern, die ihrerseits ihre Märkte nicht öffnen, seit Ende August 2022 den Marktzugang erschweren. </w:t>
      </w:r>
      <w:bookmarkStart w:id="8" w:name="_Hlk145063505"/>
      <w:r w:rsidR="00866DBB">
        <w:rPr>
          <w:rFonts w:ascii="Times New Roman" w:eastAsia="Times New Roman" w:hAnsi="Times New Roman" w:cs="Times New Roman"/>
          <w:sz w:val="24"/>
          <w:szCs w:val="24"/>
          <w:lang w:val="de-DE"/>
        </w:rPr>
        <w:t>Bedeutsam in diesem Zusammenhang sind ebenfalls</w:t>
      </w:r>
      <w:r w:rsidR="0059586E" w:rsidRPr="00724EDF">
        <w:rPr>
          <w:rFonts w:ascii="Times New Roman" w:eastAsia="Times New Roman" w:hAnsi="Times New Roman" w:cs="Times New Roman"/>
          <w:sz w:val="24"/>
          <w:szCs w:val="24"/>
          <w:lang w:val="de-DE"/>
        </w:rPr>
        <w:t xml:space="preserve"> </w:t>
      </w:r>
      <w:bookmarkEnd w:id="8"/>
      <w:r w:rsidR="0059586E" w:rsidRPr="00724EDF">
        <w:rPr>
          <w:rFonts w:ascii="Times New Roman" w:eastAsia="Times New Roman" w:hAnsi="Times New Roman" w:cs="Times New Roman"/>
          <w:sz w:val="24"/>
          <w:szCs w:val="24"/>
          <w:lang w:val="de-DE"/>
        </w:rPr>
        <w:t>eine europäische Koordinierung bezüglich des Investment Screenings</w:t>
      </w:r>
      <w:r w:rsidR="00370E56">
        <w:rPr>
          <w:rStyle w:val="FootnoteReference"/>
          <w:rFonts w:ascii="Times New Roman" w:eastAsia="Times New Roman" w:hAnsi="Times New Roman" w:cs="Times New Roman"/>
          <w:sz w:val="24"/>
          <w:szCs w:val="24"/>
          <w:lang w:val="de-DE"/>
        </w:rPr>
        <w:footnoteReference w:id="42"/>
      </w:r>
      <w:r w:rsidR="00014056">
        <w:rPr>
          <w:rFonts w:ascii="Times New Roman" w:eastAsia="Times New Roman" w:hAnsi="Times New Roman" w:cs="Times New Roman"/>
          <w:sz w:val="24"/>
          <w:szCs w:val="24"/>
          <w:lang w:val="de-DE"/>
        </w:rPr>
        <w:t xml:space="preserve"> („</w:t>
      </w:r>
      <w:r w:rsidR="00014056" w:rsidRPr="00014056">
        <w:rPr>
          <w:rFonts w:ascii="Times New Roman" w:eastAsia="Times New Roman" w:hAnsi="Times New Roman" w:cs="Times New Roman"/>
          <w:sz w:val="24"/>
          <w:szCs w:val="24"/>
          <w:lang w:val="de-DE"/>
        </w:rPr>
        <w:t>Investitionskontrollregelungen</w:t>
      </w:r>
      <w:r w:rsidR="00014056">
        <w:rPr>
          <w:rFonts w:ascii="Times New Roman" w:eastAsia="Times New Roman" w:hAnsi="Times New Roman" w:cs="Times New Roman"/>
          <w:sz w:val="24"/>
          <w:szCs w:val="24"/>
          <w:lang w:val="de-DE"/>
        </w:rPr>
        <w:t>“)</w:t>
      </w:r>
      <w:r w:rsidR="0059586E" w:rsidRPr="00724EDF">
        <w:rPr>
          <w:rFonts w:ascii="Times New Roman" w:eastAsia="Times New Roman" w:hAnsi="Times New Roman" w:cs="Times New Roman"/>
          <w:sz w:val="24"/>
          <w:szCs w:val="24"/>
          <w:lang w:val="de-DE"/>
        </w:rPr>
        <w:t xml:space="preserve"> und ein verbessertes Regelwerk zur Bekämpfung ungerechtfertigter staatlicher Subventionen im Wettbewerbsbereich und bei der Vergabe öffentlicher Aufträge („</w:t>
      </w:r>
      <w:proofErr w:type="spellStart"/>
      <w:r w:rsidR="0059586E" w:rsidRPr="00724EDF">
        <w:rPr>
          <w:rFonts w:ascii="Times New Roman" w:eastAsia="Times New Roman" w:hAnsi="Times New Roman" w:cs="Times New Roman"/>
          <w:sz w:val="24"/>
          <w:szCs w:val="24"/>
          <w:lang w:val="de-DE"/>
        </w:rPr>
        <w:t>Foreign</w:t>
      </w:r>
      <w:proofErr w:type="spellEnd"/>
      <w:r w:rsidR="0059586E" w:rsidRPr="00724EDF">
        <w:rPr>
          <w:rFonts w:ascii="Times New Roman" w:eastAsia="Times New Roman" w:hAnsi="Times New Roman" w:cs="Times New Roman"/>
          <w:sz w:val="24"/>
          <w:szCs w:val="24"/>
          <w:lang w:val="de-DE"/>
        </w:rPr>
        <w:t xml:space="preserve"> </w:t>
      </w:r>
      <w:proofErr w:type="spellStart"/>
      <w:r w:rsidR="0059586E" w:rsidRPr="00724EDF">
        <w:rPr>
          <w:rFonts w:ascii="Times New Roman" w:eastAsia="Times New Roman" w:hAnsi="Times New Roman" w:cs="Times New Roman"/>
          <w:sz w:val="24"/>
          <w:szCs w:val="24"/>
          <w:lang w:val="de-DE"/>
        </w:rPr>
        <w:t>Subsidies</w:t>
      </w:r>
      <w:proofErr w:type="spellEnd"/>
      <w:r w:rsidR="0059586E" w:rsidRPr="00724EDF">
        <w:rPr>
          <w:rFonts w:ascii="Times New Roman" w:eastAsia="Times New Roman" w:hAnsi="Times New Roman" w:cs="Times New Roman"/>
          <w:sz w:val="24"/>
          <w:szCs w:val="24"/>
          <w:lang w:val="de-DE"/>
        </w:rPr>
        <w:t xml:space="preserve"> Instrument”)</w:t>
      </w:r>
      <w:r w:rsidR="00ED2311">
        <w:rPr>
          <w:rStyle w:val="FootnoteReference"/>
          <w:rFonts w:ascii="Times New Roman" w:eastAsia="Times New Roman" w:hAnsi="Times New Roman" w:cs="Times New Roman"/>
          <w:sz w:val="24"/>
          <w:szCs w:val="24"/>
          <w:lang w:val="de-DE"/>
        </w:rPr>
        <w:footnoteReference w:id="43"/>
      </w:r>
      <w:r w:rsidR="00ED2311">
        <w:rPr>
          <w:rFonts w:ascii="Times New Roman" w:eastAsia="Times New Roman" w:hAnsi="Times New Roman" w:cs="Times New Roman"/>
          <w:sz w:val="24"/>
          <w:szCs w:val="24"/>
          <w:lang w:val="de-DE"/>
        </w:rPr>
        <w:t>.</w:t>
      </w:r>
    </w:p>
    <w:p w14:paraId="4BD8FD50" w14:textId="4E05273E" w:rsidR="00866DBB" w:rsidRPr="00074B3A" w:rsidRDefault="00C75645" w:rsidP="00866DBB">
      <w:pPr>
        <w:shd w:val="clear" w:color="auto" w:fill="FFFFFF"/>
        <w:spacing w:after="0" w:line="240" w:lineRule="auto"/>
        <w:jc w:val="both"/>
        <w:textAlignment w:val="baseline"/>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Gemäß</w:t>
      </w:r>
      <w:r w:rsidR="00866DBB" w:rsidRPr="00074B3A">
        <w:rPr>
          <w:rFonts w:ascii="Times New Roman" w:eastAsia="Times New Roman" w:hAnsi="Times New Roman" w:cs="Times New Roman"/>
          <w:sz w:val="24"/>
          <w:szCs w:val="24"/>
          <w:lang w:val="de-DE"/>
        </w:rPr>
        <w:t xml:space="preserve"> WTO-Recht sind einige Subventionen ganz </w:t>
      </w:r>
      <w:r w:rsidR="00074B3A">
        <w:rPr>
          <w:rFonts w:ascii="Times New Roman" w:eastAsia="Times New Roman" w:hAnsi="Times New Roman" w:cs="Times New Roman"/>
          <w:sz w:val="24"/>
          <w:szCs w:val="24"/>
          <w:lang w:val="de-DE"/>
        </w:rPr>
        <w:t>untersagt</w:t>
      </w:r>
      <w:r w:rsidR="00866DBB" w:rsidRPr="00074B3A">
        <w:rPr>
          <w:rFonts w:ascii="Times New Roman" w:eastAsia="Times New Roman" w:hAnsi="Times New Roman" w:cs="Times New Roman"/>
          <w:sz w:val="24"/>
          <w:szCs w:val="24"/>
          <w:lang w:val="de-DE"/>
        </w:rPr>
        <w:t xml:space="preserve">, während </w:t>
      </w:r>
      <w:r w:rsidR="00074B3A">
        <w:rPr>
          <w:rFonts w:ascii="Times New Roman" w:eastAsia="Times New Roman" w:hAnsi="Times New Roman" w:cs="Times New Roman"/>
          <w:sz w:val="24"/>
          <w:szCs w:val="24"/>
          <w:lang w:val="de-DE"/>
        </w:rPr>
        <w:t>andere Subventionen</w:t>
      </w:r>
      <w:r w:rsidR="00866DBB" w:rsidRPr="00074B3A">
        <w:rPr>
          <w:rFonts w:ascii="Times New Roman" w:eastAsia="Times New Roman" w:hAnsi="Times New Roman" w:cs="Times New Roman"/>
          <w:sz w:val="24"/>
          <w:szCs w:val="24"/>
          <w:lang w:val="de-DE"/>
        </w:rPr>
        <w:t xml:space="preserve"> </w:t>
      </w:r>
      <w:r w:rsidR="00074B3A">
        <w:rPr>
          <w:rFonts w:ascii="Times New Roman" w:eastAsia="Times New Roman" w:hAnsi="Times New Roman" w:cs="Times New Roman"/>
          <w:sz w:val="24"/>
          <w:szCs w:val="24"/>
          <w:lang w:val="de-DE"/>
        </w:rPr>
        <w:t xml:space="preserve">lediglich </w:t>
      </w:r>
      <w:r w:rsidR="00866DBB" w:rsidRPr="00074B3A">
        <w:rPr>
          <w:rFonts w:ascii="Times New Roman" w:eastAsia="Times New Roman" w:hAnsi="Times New Roman" w:cs="Times New Roman"/>
          <w:sz w:val="24"/>
          <w:szCs w:val="24"/>
          <w:lang w:val="de-DE"/>
        </w:rPr>
        <w:t xml:space="preserve">„anfechtbar“ </w:t>
      </w:r>
      <w:r w:rsidR="00074B3A">
        <w:rPr>
          <w:rFonts w:ascii="Times New Roman" w:eastAsia="Times New Roman" w:hAnsi="Times New Roman" w:cs="Times New Roman"/>
          <w:sz w:val="24"/>
          <w:szCs w:val="24"/>
          <w:lang w:val="de-DE"/>
        </w:rPr>
        <w:t>sind</w:t>
      </w:r>
      <w:r w:rsidR="00866DBB" w:rsidRPr="00074B3A">
        <w:rPr>
          <w:rFonts w:ascii="Times New Roman" w:eastAsia="Times New Roman" w:hAnsi="Times New Roman" w:cs="Times New Roman"/>
          <w:sz w:val="24"/>
          <w:szCs w:val="24"/>
          <w:lang w:val="de-DE"/>
        </w:rPr>
        <w:t>, was bedeutet, dass die Subvention zulässig ist, aber andere Länder bestimmte Maßnahmen ergreifen</w:t>
      </w:r>
      <w:r w:rsidR="0046607D" w:rsidRPr="0046607D">
        <w:rPr>
          <w:rFonts w:ascii="Times New Roman" w:eastAsia="Times New Roman" w:hAnsi="Times New Roman" w:cs="Times New Roman"/>
          <w:sz w:val="24"/>
          <w:szCs w:val="24"/>
          <w:lang w:val="de-DE"/>
        </w:rPr>
        <w:t xml:space="preserve"> </w:t>
      </w:r>
      <w:r w:rsidR="0046607D" w:rsidRPr="00074B3A">
        <w:rPr>
          <w:rFonts w:ascii="Times New Roman" w:eastAsia="Times New Roman" w:hAnsi="Times New Roman" w:cs="Times New Roman"/>
          <w:sz w:val="24"/>
          <w:szCs w:val="24"/>
          <w:lang w:val="de-DE"/>
        </w:rPr>
        <w:t>können</w:t>
      </w:r>
      <w:r w:rsidR="00866DBB" w:rsidRPr="00074B3A">
        <w:rPr>
          <w:rFonts w:ascii="Times New Roman" w:eastAsia="Times New Roman" w:hAnsi="Times New Roman" w:cs="Times New Roman"/>
          <w:sz w:val="24"/>
          <w:szCs w:val="24"/>
          <w:lang w:val="de-DE"/>
        </w:rPr>
        <w:t>, wenn sie durch die Subvention geschädigt werden. Die Länder können ihre Industrien schützen, indem sie Einfuhren der subventionierten Ware besteuern – dies wird als „Ausgleichszoll“ bezeichnet. Obwohl die Definition des Begriffs „Subvention“ im Rahmen der WTO-Regelung</w:t>
      </w:r>
      <w:r w:rsidR="00ED2311">
        <w:rPr>
          <w:rStyle w:val="FootnoteReference"/>
          <w:rFonts w:ascii="Times New Roman" w:eastAsia="Times New Roman" w:hAnsi="Times New Roman" w:cs="Times New Roman"/>
          <w:sz w:val="24"/>
          <w:szCs w:val="24"/>
          <w:lang w:val="de-DE"/>
        </w:rPr>
        <w:footnoteReference w:id="44"/>
      </w:r>
      <w:r w:rsidR="00866DBB" w:rsidRPr="00074B3A">
        <w:rPr>
          <w:rFonts w:ascii="Times New Roman" w:eastAsia="Times New Roman" w:hAnsi="Times New Roman" w:cs="Times New Roman"/>
          <w:sz w:val="24"/>
          <w:szCs w:val="24"/>
          <w:lang w:val="de-DE"/>
        </w:rPr>
        <w:t xml:space="preserve"> im EU-Recht weitgehend mit „staatlicher Beihilfe“ vergleichbar ist, sind die EU-Vorschriften weitaus strenger als die WTO-Regeln über Subventionen. Die wichtigsten Unterschiede sind:</w:t>
      </w:r>
    </w:p>
    <w:p w14:paraId="5E7ABE8D" w14:textId="77777777" w:rsidR="00866DBB" w:rsidRDefault="00866DBB" w:rsidP="00866DBB">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6568680A" w14:textId="3716F27B" w:rsidR="0046607D" w:rsidRDefault="00866DBB" w:rsidP="00866DBB">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sidRPr="00BB1D16">
        <w:rPr>
          <w:rFonts w:ascii="Times New Roman" w:eastAsia="Times New Roman" w:hAnsi="Times New Roman" w:cs="Times New Roman"/>
          <w:color w:val="242424"/>
          <w:sz w:val="24"/>
          <w:szCs w:val="24"/>
          <w:lang w:val="de-DE" w:eastAsia="en-GB"/>
        </w:rPr>
        <w:t>Die EU-Vorschriften werden prospektiv angewandt (</w:t>
      </w:r>
      <w:proofErr w:type="spellStart"/>
      <w:r w:rsidRPr="00BB1D16">
        <w:rPr>
          <w:rFonts w:ascii="Times New Roman" w:eastAsia="Times New Roman" w:hAnsi="Times New Roman" w:cs="Times New Roman"/>
          <w:color w:val="242424"/>
          <w:sz w:val="24"/>
          <w:szCs w:val="24"/>
          <w:lang w:val="de-DE" w:eastAsia="en-GB"/>
        </w:rPr>
        <w:t>dh</w:t>
      </w:r>
      <w:proofErr w:type="spellEnd"/>
      <w:r w:rsidRPr="00BB1D16">
        <w:rPr>
          <w:rFonts w:ascii="Times New Roman" w:eastAsia="Times New Roman" w:hAnsi="Times New Roman" w:cs="Times New Roman"/>
          <w:color w:val="242424"/>
          <w:sz w:val="24"/>
          <w:szCs w:val="24"/>
          <w:lang w:val="de-DE" w:eastAsia="en-GB"/>
        </w:rPr>
        <w:t xml:space="preserve"> die Rechtmäßigkeit muss nachgewiesen werden, bevor Unterstützung gewährt wird), während die WTO-Regeln nur reaktiv </w:t>
      </w:r>
      <w:r w:rsidR="00C75645">
        <w:rPr>
          <w:rFonts w:ascii="Times New Roman" w:eastAsia="Times New Roman" w:hAnsi="Times New Roman" w:cs="Times New Roman"/>
          <w:color w:val="242424"/>
          <w:sz w:val="24"/>
          <w:szCs w:val="24"/>
          <w:lang w:val="de-DE" w:eastAsia="en-GB"/>
        </w:rPr>
        <w:t xml:space="preserve">und lediglich dann </w:t>
      </w:r>
      <w:r w:rsidR="00BF452D">
        <w:rPr>
          <w:rFonts w:ascii="Times New Roman" w:eastAsia="Times New Roman" w:hAnsi="Times New Roman" w:cs="Times New Roman"/>
          <w:color w:val="242424"/>
          <w:sz w:val="24"/>
          <w:szCs w:val="24"/>
          <w:lang w:val="de-DE" w:eastAsia="en-GB"/>
        </w:rPr>
        <w:t>zur Anwendung kommen</w:t>
      </w:r>
      <w:r w:rsidRPr="00BB1D16">
        <w:rPr>
          <w:rFonts w:ascii="Times New Roman" w:eastAsia="Times New Roman" w:hAnsi="Times New Roman" w:cs="Times New Roman"/>
          <w:color w:val="242424"/>
          <w:sz w:val="24"/>
          <w:szCs w:val="24"/>
          <w:lang w:val="de-DE" w:eastAsia="en-GB"/>
        </w:rPr>
        <w:t>, wenn ein Mitgliedstaat eine Beschwerde einreicht.</w:t>
      </w:r>
      <w:r>
        <w:rPr>
          <w:rFonts w:ascii="Times New Roman" w:eastAsia="Times New Roman" w:hAnsi="Times New Roman" w:cs="Times New Roman"/>
          <w:color w:val="242424"/>
          <w:sz w:val="24"/>
          <w:szCs w:val="24"/>
          <w:lang w:val="de-DE" w:eastAsia="en-GB"/>
        </w:rPr>
        <w:t xml:space="preserve"> </w:t>
      </w:r>
      <w:r w:rsidRPr="00BB1D16">
        <w:rPr>
          <w:rFonts w:ascii="Times New Roman" w:eastAsia="Times New Roman" w:hAnsi="Times New Roman" w:cs="Times New Roman"/>
          <w:color w:val="242424"/>
          <w:sz w:val="24"/>
          <w:szCs w:val="24"/>
          <w:lang w:val="de-DE" w:eastAsia="en-GB"/>
        </w:rPr>
        <w:t>Die WTO-Regeln stützen sich auf die Durchsetzung zwischen Staaten</w:t>
      </w:r>
      <w:r w:rsidR="009F36D5">
        <w:rPr>
          <w:rFonts w:ascii="Times New Roman" w:eastAsia="Times New Roman" w:hAnsi="Times New Roman" w:cs="Times New Roman"/>
          <w:color w:val="242424"/>
          <w:sz w:val="24"/>
          <w:szCs w:val="24"/>
          <w:lang w:val="de-DE" w:eastAsia="en-GB"/>
        </w:rPr>
        <w:t xml:space="preserve">. </w:t>
      </w:r>
      <w:r w:rsidRPr="00BB1D16">
        <w:rPr>
          <w:rFonts w:ascii="Times New Roman" w:eastAsia="Times New Roman" w:hAnsi="Times New Roman" w:cs="Times New Roman"/>
          <w:color w:val="242424"/>
          <w:sz w:val="24"/>
          <w:szCs w:val="24"/>
          <w:lang w:val="de-DE" w:eastAsia="en-GB"/>
        </w:rPr>
        <w:t xml:space="preserve">Unternehmen und Einzelpersonen </w:t>
      </w:r>
      <w:r w:rsidR="009F36D5">
        <w:rPr>
          <w:rFonts w:ascii="Times New Roman" w:eastAsia="Times New Roman" w:hAnsi="Times New Roman" w:cs="Times New Roman"/>
          <w:color w:val="242424"/>
          <w:sz w:val="24"/>
          <w:szCs w:val="24"/>
          <w:lang w:val="de-DE" w:eastAsia="en-GB"/>
        </w:rPr>
        <w:t xml:space="preserve">stehen </w:t>
      </w:r>
      <w:r w:rsidRPr="00BB1D16">
        <w:rPr>
          <w:rFonts w:ascii="Times New Roman" w:eastAsia="Times New Roman" w:hAnsi="Times New Roman" w:cs="Times New Roman"/>
          <w:color w:val="242424"/>
          <w:sz w:val="24"/>
          <w:szCs w:val="24"/>
          <w:lang w:val="de-DE" w:eastAsia="en-GB"/>
        </w:rPr>
        <w:t>nach den EU-Vorschriften Rechtsbehelfe zur Verfügung.</w:t>
      </w:r>
      <w:r>
        <w:rPr>
          <w:rFonts w:ascii="Times New Roman" w:eastAsia="Times New Roman" w:hAnsi="Times New Roman" w:cs="Times New Roman"/>
          <w:color w:val="242424"/>
          <w:sz w:val="24"/>
          <w:szCs w:val="24"/>
          <w:lang w:val="de-DE" w:eastAsia="en-GB"/>
        </w:rPr>
        <w:t xml:space="preserve"> </w:t>
      </w:r>
      <w:r w:rsidR="009F36D5">
        <w:rPr>
          <w:rFonts w:ascii="Times New Roman" w:eastAsia="Times New Roman" w:hAnsi="Times New Roman" w:cs="Times New Roman"/>
          <w:color w:val="242424"/>
          <w:sz w:val="24"/>
          <w:szCs w:val="24"/>
          <w:lang w:val="de-DE" w:eastAsia="en-GB"/>
        </w:rPr>
        <w:t>E</w:t>
      </w:r>
      <w:r w:rsidRPr="00BB1D16">
        <w:rPr>
          <w:rFonts w:ascii="Times New Roman" w:eastAsia="Times New Roman" w:hAnsi="Times New Roman" w:cs="Times New Roman"/>
          <w:color w:val="242424"/>
          <w:sz w:val="24"/>
          <w:szCs w:val="24"/>
          <w:lang w:val="de-DE" w:eastAsia="en-GB"/>
        </w:rPr>
        <w:t xml:space="preserve">in Unternehmen </w:t>
      </w:r>
      <w:r w:rsidR="009F36D5" w:rsidRPr="00BB1D16">
        <w:rPr>
          <w:rFonts w:ascii="Times New Roman" w:eastAsia="Times New Roman" w:hAnsi="Times New Roman" w:cs="Times New Roman"/>
          <w:color w:val="242424"/>
          <w:sz w:val="24"/>
          <w:szCs w:val="24"/>
          <w:lang w:val="de-DE" w:eastAsia="en-GB"/>
        </w:rPr>
        <w:t>muss</w:t>
      </w:r>
      <w:r w:rsidR="009F36D5">
        <w:rPr>
          <w:rFonts w:ascii="Times New Roman" w:eastAsia="Times New Roman" w:hAnsi="Times New Roman" w:cs="Times New Roman"/>
          <w:color w:val="242424"/>
          <w:sz w:val="24"/>
          <w:szCs w:val="24"/>
          <w:lang w:val="de-DE" w:eastAsia="en-GB"/>
        </w:rPr>
        <w:t xml:space="preserve"> gemäß</w:t>
      </w:r>
      <w:r w:rsidR="009F36D5" w:rsidRPr="00BB1D16">
        <w:rPr>
          <w:rFonts w:ascii="Times New Roman" w:eastAsia="Times New Roman" w:hAnsi="Times New Roman" w:cs="Times New Roman"/>
          <w:color w:val="242424"/>
          <w:sz w:val="24"/>
          <w:szCs w:val="24"/>
          <w:lang w:val="de-DE" w:eastAsia="en-GB"/>
        </w:rPr>
        <w:t xml:space="preserve"> den EU-Vorschriften </w:t>
      </w:r>
      <w:r w:rsidRPr="00BB1D16">
        <w:rPr>
          <w:rFonts w:ascii="Times New Roman" w:eastAsia="Times New Roman" w:hAnsi="Times New Roman" w:cs="Times New Roman"/>
          <w:color w:val="242424"/>
          <w:sz w:val="24"/>
          <w:szCs w:val="24"/>
          <w:lang w:val="de-DE" w:eastAsia="en-GB"/>
        </w:rPr>
        <w:t xml:space="preserve">rechtswidrige staatliche </w:t>
      </w:r>
      <w:r w:rsidRPr="00BB1D16">
        <w:rPr>
          <w:rFonts w:ascii="Times New Roman" w:eastAsia="Times New Roman" w:hAnsi="Times New Roman" w:cs="Times New Roman"/>
          <w:color w:val="242424"/>
          <w:sz w:val="24"/>
          <w:szCs w:val="24"/>
          <w:lang w:val="de-DE" w:eastAsia="en-GB"/>
        </w:rPr>
        <w:lastRenderedPageBreak/>
        <w:t>Beihilfen zurückzahlen. Es gibt keinen solchen Mechanismus zur Beseitigung wettbewerbswidriger Auswirkungen nach den WTO-Regeln.</w:t>
      </w:r>
      <w:r>
        <w:rPr>
          <w:rFonts w:ascii="Times New Roman" w:eastAsia="Times New Roman" w:hAnsi="Times New Roman" w:cs="Times New Roman"/>
          <w:color w:val="242424"/>
          <w:sz w:val="24"/>
          <w:szCs w:val="24"/>
          <w:lang w:val="de-DE" w:eastAsia="en-GB"/>
        </w:rPr>
        <w:t xml:space="preserve"> </w:t>
      </w:r>
    </w:p>
    <w:p w14:paraId="602F83E1" w14:textId="77777777" w:rsidR="0046607D" w:rsidRDefault="0046607D" w:rsidP="00866DBB">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1C591F5B" w14:textId="1C0020A6" w:rsidR="00866DBB" w:rsidRPr="00302D3B" w:rsidRDefault="009F36D5" w:rsidP="00866DBB">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sidRPr="00BB1D16">
        <w:rPr>
          <w:rFonts w:ascii="Times New Roman" w:eastAsia="Times New Roman" w:hAnsi="Times New Roman" w:cs="Times New Roman"/>
          <w:color w:val="242424"/>
          <w:sz w:val="24"/>
          <w:szCs w:val="24"/>
          <w:lang w:val="de-DE" w:eastAsia="en-GB"/>
        </w:rPr>
        <w:t xml:space="preserve">Vorschriften über Subventionen und staatseigene Unternehmen </w:t>
      </w:r>
      <w:r>
        <w:rPr>
          <w:rFonts w:ascii="Times New Roman" w:eastAsia="Times New Roman" w:hAnsi="Times New Roman" w:cs="Times New Roman"/>
          <w:color w:val="242424"/>
          <w:sz w:val="24"/>
          <w:szCs w:val="24"/>
          <w:lang w:val="de-DE" w:eastAsia="en-GB"/>
        </w:rPr>
        <w:t xml:space="preserve">müssten innerhalb der WTO </w:t>
      </w:r>
      <w:r w:rsidRPr="00BB1D16">
        <w:rPr>
          <w:rFonts w:ascii="Times New Roman" w:eastAsia="Times New Roman" w:hAnsi="Times New Roman" w:cs="Times New Roman"/>
          <w:color w:val="242424"/>
          <w:sz w:val="24"/>
          <w:szCs w:val="24"/>
          <w:lang w:val="de-DE" w:eastAsia="en-GB"/>
        </w:rPr>
        <w:t>reformiert werden</w:t>
      </w:r>
      <w:r>
        <w:rPr>
          <w:rFonts w:ascii="Times New Roman" w:eastAsia="Times New Roman" w:hAnsi="Times New Roman" w:cs="Times New Roman"/>
          <w:color w:val="242424"/>
          <w:sz w:val="24"/>
          <w:szCs w:val="24"/>
          <w:lang w:val="de-DE" w:eastAsia="en-GB"/>
        </w:rPr>
        <w:t xml:space="preserve">. Es </w:t>
      </w:r>
      <w:r w:rsidR="00866DBB" w:rsidRPr="00EB745F">
        <w:rPr>
          <w:rFonts w:ascii="Times New Roman" w:eastAsia="Times New Roman" w:hAnsi="Times New Roman" w:cs="Times New Roman"/>
          <w:color w:val="242424"/>
          <w:sz w:val="24"/>
          <w:szCs w:val="24"/>
          <w:lang w:val="de-DE" w:eastAsia="en-GB"/>
        </w:rPr>
        <w:t xml:space="preserve">handelt </w:t>
      </w:r>
      <w:r w:rsidR="00951608" w:rsidRPr="00EB745F">
        <w:rPr>
          <w:rFonts w:ascii="Times New Roman" w:eastAsia="Times New Roman" w:hAnsi="Times New Roman" w:cs="Times New Roman"/>
          <w:color w:val="242424"/>
          <w:sz w:val="24"/>
          <w:szCs w:val="24"/>
          <w:lang w:val="de-DE" w:eastAsia="en-GB"/>
        </w:rPr>
        <w:t>sich</w:t>
      </w:r>
      <w:r w:rsidR="00951608">
        <w:rPr>
          <w:rFonts w:ascii="Times New Roman" w:eastAsia="Times New Roman" w:hAnsi="Times New Roman" w:cs="Times New Roman"/>
          <w:color w:val="242424"/>
          <w:sz w:val="24"/>
          <w:szCs w:val="24"/>
          <w:lang w:val="de-DE" w:eastAsia="en-GB"/>
        </w:rPr>
        <w:t xml:space="preserve"> </w:t>
      </w:r>
      <w:r>
        <w:rPr>
          <w:rFonts w:ascii="Times New Roman" w:eastAsia="Times New Roman" w:hAnsi="Times New Roman" w:cs="Times New Roman"/>
          <w:color w:val="242424"/>
          <w:sz w:val="24"/>
          <w:szCs w:val="24"/>
          <w:lang w:val="de-DE" w:eastAsia="en-GB"/>
        </w:rPr>
        <w:t>b</w:t>
      </w:r>
      <w:r w:rsidRPr="00BB1D16">
        <w:rPr>
          <w:rFonts w:ascii="Times New Roman" w:eastAsia="Times New Roman" w:hAnsi="Times New Roman" w:cs="Times New Roman"/>
          <w:color w:val="242424"/>
          <w:sz w:val="24"/>
          <w:szCs w:val="24"/>
          <w:lang w:val="de-DE" w:eastAsia="en-GB"/>
        </w:rPr>
        <w:t xml:space="preserve">ei der WTO </w:t>
      </w:r>
      <w:r w:rsidR="00866DBB" w:rsidRPr="00BB1D16">
        <w:rPr>
          <w:rFonts w:ascii="Times New Roman" w:eastAsia="Times New Roman" w:hAnsi="Times New Roman" w:cs="Times New Roman"/>
          <w:color w:val="242424"/>
          <w:sz w:val="24"/>
          <w:szCs w:val="24"/>
          <w:lang w:val="de-DE" w:eastAsia="en-GB"/>
        </w:rPr>
        <w:t>um ein konsensbasiertes System</w:t>
      </w:r>
      <w:r w:rsidR="00866DBB">
        <w:rPr>
          <w:rFonts w:ascii="Times New Roman" w:eastAsia="Times New Roman" w:hAnsi="Times New Roman" w:cs="Times New Roman"/>
          <w:color w:val="242424"/>
          <w:sz w:val="24"/>
          <w:szCs w:val="24"/>
          <w:lang w:val="de-DE" w:eastAsia="en-GB"/>
        </w:rPr>
        <w:t>. Z</w:t>
      </w:r>
      <w:r w:rsidR="00866DBB" w:rsidRPr="00BB1D16">
        <w:rPr>
          <w:rFonts w:ascii="Times New Roman" w:eastAsia="Times New Roman" w:hAnsi="Times New Roman" w:cs="Times New Roman"/>
          <w:color w:val="242424"/>
          <w:sz w:val="24"/>
          <w:szCs w:val="24"/>
          <w:lang w:val="de-DE" w:eastAsia="en-GB"/>
        </w:rPr>
        <w:t xml:space="preserve">wischen all ihren 164 Mitgliedern </w:t>
      </w:r>
      <w:r w:rsidR="00866DBB">
        <w:rPr>
          <w:rFonts w:ascii="Times New Roman" w:eastAsia="Times New Roman" w:hAnsi="Times New Roman" w:cs="Times New Roman"/>
          <w:color w:val="242424"/>
          <w:sz w:val="24"/>
          <w:szCs w:val="24"/>
          <w:lang w:val="de-DE" w:eastAsia="en-GB"/>
        </w:rPr>
        <w:t xml:space="preserve">ist </w:t>
      </w:r>
      <w:r w:rsidR="00866DBB" w:rsidRPr="00BB1D16">
        <w:rPr>
          <w:rFonts w:ascii="Times New Roman" w:eastAsia="Times New Roman" w:hAnsi="Times New Roman" w:cs="Times New Roman"/>
          <w:color w:val="242424"/>
          <w:sz w:val="24"/>
          <w:szCs w:val="24"/>
          <w:lang w:val="de-DE" w:eastAsia="en-GB"/>
        </w:rPr>
        <w:t xml:space="preserve">eine Einigung erforderlich, bevor </w:t>
      </w:r>
      <w:r>
        <w:rPr>
          <w:rFonts w:ascii="Times New Roman" w:eastAsia="Times New Roman" w:hAnsi="Times New Roman" w:cs="Times New Roman"/>
          <w:color w:val="242424"/>
          <w:sz w:val="24"/>
          <w:szCs w:val="24"/>
          <w:lang w:val="de-DE" w:eastAsia="en-GB"/>
        </w:rPr>
        <w:t>neue</w:t>
      </w:r>
      <w:r w:rsidR="00866DBB" w:rsidRPr="00BB1D16">
        <w:rPr>
          <w:rFonts w:ascii="Times New Roman" w:eastAsia="Times New Roman" w:hAnsi="Times New Roman" w:cs="Times New Roman"/>
          <w:color w:val="242424"/>
          <w:sz w:val="24"/>
          <w:szCs w:val="24"/>
          <w:lang w:val="de-DE" w:eastAsia="en-GB"/>
        </w:rPr>
        <w:t xml:space="preserve"> </w:t>
      </w:r>
      <w:r>
        <w:rPr>
          <w:rFonts w:ascii="Times New Roman" w:eastAsia="Times New Roman" w:hAnsi="Times New Roman" w:cs="Times New Roman"/>
          <w:color w:val="242424"/>
          <w:sz w:val="24"/>
          <w:szCs w:val="24"/>
          <w:lang w:val="de-DE" w:eastAsia="en-GB"/>
        </w:rPr>
        <w:t xml:space="preserve">Regeln </w:t>
      </w:r>
      <w:r w:rsidR="00866DBB" w:rsidRPr="00BB1D16">
        <w:rPr>
          <w:rFonts w:ascii="Times New Roman" w:eastAsia="Times New Roman" w:hAnsi="Times New Roman" w:cs="Times New Roman"/>
          <w:color w:val="242424"/>
          <w:sz w:val="24"/>
          <w:szCs w:val="24"/>
          <w:lang w:val="de-DE" w:eastAsia="en-GB"/>
        </w:rPr>
        <w:t xml:space="preserve">über Subventionen und staatseigene Unternehmen </w:t>
      </w:r>
      <w:r>
        <w:rPr>
          <w:rFonts w:ascii="Times New Roman" w:eastAsia="Times New Roman" w:hAnsi="Times New Roman" w:cs="Times New Roman"/>
          <w:color w:val="242424"/>
          <w:sz w:val="24"/>
          <w:szCs w:val="24"/>
          <w:lang w:val="de-DE" w:eastAsia="en-GB"/>
        </w:rPr>
        <w:t>beschlossen</w:t>
      </w:r>
      <w:r w:rsidR="00866DBB" w:rsidRPr="00BB1D16">
        <w:rPr>
          <w:rFonts w:ascii="Times New Roman" w:eastAsia="Times New Roman" w:hAnsi="Times New Roman" w:cs="Times New Roman"/>
          <w:color w:val="242424"/>
          <w:sz w:val="24"/>
          <w:szCs w:val="24"/>
          <w:lang w:val="de-DE" w:eastAsia="en-GB"/>
        </w:rPr>
        <w:t xml:space="preserve"> werden</w:t>
      </w:r>
      <w:r w:rsidR="00866DBB">
        <w:rPr>
          <w:rFonts w:ascii="Times New Roman" w:eastAsia="Times New Roman" w:hAnsi="Times New Roman" w:cs="Times New Roman"/>
          <w:color w:val="242424"/>
          <w:sz w:val="24"/>
          <w:szCs w:val="24"/>
          <w:lang w:val="de-DE" w:eastAsia="en-GB"/>
        </w:rPr>
        <w:t xml:space="preserve"> können</w:t>
      </w:r>
      <w:r w:rsidR="00866DBB" w:rsidRPr="00BB1D16">
        <w:rPr>
          <w:rFonts w:ascii="Times New Roman" w:eastAsia="Times New Roman" w:hAnsi="Times New Roman" w:cs="Times New Roman"/>
          <w:color w:val="242424"/>
          <w:sz w:val="24"/>
          <w:szCs w:val="24"/>
          <w:lang w:val="de-DE" w:eastAsia="en-GB"/>
        </w:rPr>
        <w:t xml:space="preserve">. </w:t>
      </w:r>
      <w:r w:rsidR="00866DBB" w:rsidRPr="00D53AC5">
        <w:rPr>
          <w:rFonts w:ascii="Times New Roman" w:eastAsia="Times New Roman" w:hAnsi="Times New Roman" w:cs="Times New Roman"/>
          <w:color w:val="242424"/>
          <w:sz w:val="24"/>
          <w:szCs w:val="24"/>
          <w:lang w:val="de-DE" w:eastAsia="en-GB"/>
        </w:rPr>
        <w:t>Da die WTO im Laufe der Jahre keine wesentliche Reform ihres ASCM-Übereinkommens</w:t>
      </w:r>
      <w:r w:rsidR="00866DBB">
        <w:rPr>
          <w:rStyle w:val="FootnoteReference"/>
          <w:rFonts w:ascii="Times New Roman" w:eastAsia="Times New Roman" w:hAnsi="Times New Roman" w:cs="Times New Roman"/>
          <w:color w:val="242424"/>
          <w:sz w:val="24"/>
          <w:szCs w:val="24"/>
          <w:lang w:val="de-DE" w:eastAsia="en-GB"/>
        </w:rPr>
        <w:footnoteReference w:id="45"/>
      </w:r>
      <w:r w:rsidR="00866DBB" w:rsidRPr="00D53AC5">
        <w:rPr>
          <w:rFonts w:ascii="Times New Roman" w:eastAsia="Times New Roman" w:hAnsi="Times New Roman" w:cs="Times New Roman"/>
          <w:color w:val="242424"/>
          <w:sz w:val="24"/>
          <w:szCs w:val="24"/>
          <w:lang w:val="de-DE" w:eastAsia="en-GB"/>
        </w:rPr>
        <w:t xml:space="preserve"> und ihrer Regeln für staatseigene Unternehmen erreichen konnte, haben Länder begonnen, außerhalb des WTO-Rahmens Handelsabkommen auszuhandeln</w:t>
      </w:r>
      <w:r w:rsidR="005443CE">
        <w:rPr>
          <w:rFonts w:ascii="Times New Roman" w:eastAsia="Times New Roman" w:hAnsi="Times New Roman" w:cs="Times New Roman"/>
          <w:color w:val="242424"/>
          <w:sz w:val="24"/>
          <w:szCs w:val="24"/>
          <w:lang w:val="de-DE" w:eastAsia="en-GB"/>
        </w:rPr>
        <w:t>,</w:t>
      </w:r>
      <w:r w:rsidR="00866DBB" w:rsidRPr="00D53AC5">
        <w:rPr>
          <w:rFonts w:ascii="Times New Roman" w:eastAsia="Times New Roman" w:hAnsi="Times New Roman" w:cs="Times New Roman"/>
          <w:color w:val="242424"/>
          <w:sz w:val="24"/>
          <w:szCs w:val="24"/>
          <w:lang w:val="de-DE" w:eastAsia="en-GB"/>
        </w:rPr>
        <w:t xml:space="preserve"> </w:t>
      </w:r>
      <w:r w:rsidR="00866DBB">
        <w:rPr>
          <w:rFonts w:ascii="Times New Roman" w:eastAsia="Times New Roman" w:hAnsi="Times New Roman" w:cs="Times New Roman"/>
          <w:color w:val="242424"/>
          <w:sz w:val="24"/>
          <w:szCs w:val="24"/>
          <w:lang w:val="de-DE" w:eastAsia="en-GB"/>
        </w:rPr>
        <w:t>die</w:t>
      </w:r>
      <w:r w:rsidR="00866DBB" w:rsidRPr="00D53AC5">
        <w:rPr>
          <w:rFonts w:ascii="Times New Roman" w:eastAsia="Times New Roman" w:hAnsi="Times New Roman" w:cs="Times New Roman"/>
          <w:color w:val="242424"/>
          <w:sz w:val="24"/>
          <w:szCs w:val="24"/>
          <w:lang w:val="de-DE" w:eastAsia="en-GB"/>
        </w:rPr>
        <w:t xml:space="preserve"> </w:t>
      </w:r>
      <w:r w:rsidR="00866DBB">
        <w:rPr>
          <w:rFonts w:ascii="Times New Roman" w:eastAsia="Times New Roman" w:hAnsi="Times New Roman" w:cs="Times New Roman"/>
          <w:color w:val="242424"/>
          <w:sz w:val="24"/>
          <w:szCs w:val="24"/>
          <w:lang w:val="de-DE" w:eastAsia="en-GB"/>
        </w:rPr>
        <w:t>F</w:t>
      </w:r>
      <w:r w:rsidR="00866DBB" w:rsidRPr="00D53AC5">
        <w:rPr>
          <w:rFonts w:ascii="Times New Roman" w:eastAsia="Times New Roman" w:hAnsi="Times New Roman" w:cs="Times New Roman"/>
          <w:color w:val="242424"/>
          <w:sz w:val="24"/>
          <w:szCs w:val="24"/>
          <w:lang w:val="de-DE" w:eastAsia="en-GB"/>
        </w:rPr>
        <w:t>ragen</w:t>
      </w:r>
      <w:r w:rsidR="00866DBB">
        <w:rPr>
          <w:rFonts w:ascii="Times New Roman" w:eastAsia="Times New Roman" w:hAnsi="Times New Roman" w:cs="Times New Roman"/>
          <w:color w:val="242424"/>
          <w:sz w:val="24"/>
          <w:szCs w:val="24"/>
          <w:lang w:val="de-DE" w:eastAsia="en-GB"/>
        </w:rPr>
        <w:t xml:space="preserve"> </w:t>
      </w:r>
      <w:r w:rsidR="00866DBB" w:rsidRPr="00D53AC5">
        <w:rPr>
          <w:rFonts w:ascii="Times New Roman" w:eastAsia="Times New Roman" w:hAnsi="Times New Roman" w:cs="Times New Roman"/>
          <w:color w:val="242424"/>
          <w:sz w:val="24"/>
          <w:szCs w:val="24"/>
          <w:lang w:val="de-DE" w:eastAsia="en-GB"/>
        </w:rPr>
        <w:t xml:space="preserve">des </w:t>
      </w:r>
      <w:r w:rsidR="00866DBB">
        <w:rPr>
          <w:rFonts w:ascii="Times New Roman" w:eastAsia="Times New Roman" w:hAnsi="Times New Roman" w:cs="Times New Roman"/>
          <w:color w:val="242424"/>
          <w:sz w:val="24"/>
          <w:szCs w:val="24"/>
          <w:lang w:val="de-DE" w:eastAsia="en-GB"/>
        </w:rPr>
        <w:t>Wettbewerbs berücksichtigen.</w:t>
      </w:r>
    </w:p>
    <w:p w14:paraId="46D1C6A5" w14:textId="77777777" w:rsidR="00866DBB" w:rsidRDefault="00866DBB"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4BC72D25" w14:textId="5899D804" w:rsidR="0059586E"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sidRPr="00BB1D16">
        <w:rPr>
          <w:rFonts w:ascii="Times New Roman" w:eastAsia="Times New Roman" w:hAnsi="Times New Roman" w:cs="Times New Roman"/>
          <w:color w:val="242424"/>
          <w:sz w:val="24"/>
          <w:szCs w:val="24"/>
          <w:lang w:val="de-DE" w:eastAsia="en-GB"/>
        </w:rPr>
        <w:t xml:space="preserve">Die Kommission </w:t>
      </w:r>
      <w:r>
        <w:rPr>
          <w:rFonts w:ascii="Times New Roman" w:eastAsia="Times New Roman" w:hAnsi="Times New Roman" w:cs="Times New Roman"/>
          <w:color w:val="242424"/>
          <w:sz w:val="24"/>
          <w:szCs w:val="24"/>
          <w:lang w:val="de-DE" w:eastAsia="en-GB"/>
        </w:rPr>
        <w:t xml:space="preserve">hat mittels der </w:t>
      </w:r>
      <w:r w:rsidRPr="00BB1D16">
        <w:rPr>
          <w:rFonts w:ascii="Times New Roman" w:eastAsia="Times New Roman" w:hAnsi="Times New Roman" w:cs="Times New Roman"/>
          <w:color w:val="242424"/>
          <w:sz w:val="24"/>
          <w:szCs w:val="24"/>
          <w:lang w:val="de-DE" w:eastAsia="en-GB"/>
        </w:rPr>
        <w:t>EU-Durchsetzungsverordnung</w:t>
      </w:r>
      <w:r>
        <w:rPr>
          <w:rStyle w:val="FootnoteReference"/>
          <w:rFonts w:ascii="Times New Roman" w:eastAsia="Times New Roman" w:hAnsi="Times New Roman" w:cs="Times New Roman"/>
          <w:color w:val="242424"/>
          <w:sz w:val="24"/>
          <w:szCs w:val="24"/>
          <w:lang w:val="de-DE" w:eastAsia="en-GB"/>
        </w:rPr>
        <w:footnoteReference w:id="46"/>
      </w:r>
      <w:r w:rsidRPr="00BB1D16">
        <w:rPr>
          <w:rFonts w:ascii="Times New Roman" w:eastAsia="Times New Roman" w:hAnsi="Times New Roman" w:cs="Times New Roman"/>
          <w:color w:val="242424"/>
          <w:sz w:val="24"/>
          <w:szCs w:val="24"/>
          <w:lang w:val="de-DE" w:eastAsia="en-GB"/>
        </w:rPr>
        <w:t xml:space="preserve"> </w:t>
      </w:r>
      <w:r>
        <w:rPr>
          <w:rFonts w:ascii="Times New Roman" w:eastAsia="Times New Roman" w:hAnsi="Times New Roman" w:cs="Times New Roman"/>
          <w:color w:val="242424"/>
          <w:sz w:val="24"/>
          <w:szCs w:val="24"/>
          <w:lang w:val="de-DE" w:eastAsia="en-GB"/>
        </w:rPr>
        <w:t xml:space="preserve">die </w:t>
      </w:r>
      <w:r w:rsidRPr="00BB1D16">
        <w:rPr>
          <w:rFonts w:ascii="Times New Roman" w:eastAsia="Times New Roman" w:hAnsi="Times New Roman" w:cs="Times New Roman"/>
          <w:color w:val="242424"/>
          <w:sz w:val="24"/>
          <w:szCs w:val="24"/>
          <w:lang w:val="de-DE" w:eastAsia="en-GB"/>
        </w:rPr>
        <w:t>Durchsetzung der Rechte verbesser</w:t>
      </w:r>
      <w:r>
        <w:rPr>
          <w:rFonts w:ascii="Times New Roman" w:eastAsia="Times New Roman" w:hAnsi="Times New Roman" w:cs="Times New Roman"/>
          <w:color w:val="242424"/>
          <w:sz w:val="24"/>
          <w:szCs w:val="24"/>
          <w:lang w:val="de-DE" w:eastAsia="en-GB"/>
        </w:rPr>
        <w:t xml:space="preserve">t, nachdem es keine funktionierende Berufungsinstanz bei der WTO gibt. </w:t>
      </w:r>
      <w:r w:rsidRPr="00BB1D16">
        <w:rPr>
          <w:rFonts w:ascii="Times New Roman" w:eastAsia="Times New Roman" w:hAnsi="Times New Roman" w:cs="Times New Roman"/>
          <w:color w:val="242424"/>
          <w:sz w:val="24"/>
          <w:szCs w:val="24"/>
          <w:lang w:val="de-DE" w:eastAsia="en-GB"/>
        </w:rPr>
        <w:t>Die EU-Durchsetzungsverordnung bezieht sich auf Situation</w:t>
      </w:r>
      <w:r w:rsidR="00370E56">
        <w:rPr>
          <w:rFonts w:ascii="Times New Roman" w:eastAsia="Times New Roman" w:hAnsi="Times New Roman" w:cs="Times New Roman"/>
          <w:color w:val="242424"/>
          <w:sz w:val="24"/>
          <w:szCs w:val="24"/>
          <w:lang w:val="de-DE" w:eastAsia="en-GB"/>
        </w:rPr>
        <w:t>en</w:t>
      </w:r>
      <w:r w:rsidRPr="00BB1D16">
        <w:rPr>
          <w:rFonts w:ascii="Times New Roman" w:eastAsia="Times New Roman" w:hAnsi="Times New Roman" w:cs="Times New Roman"/>
          <w:color w:val="242424"/>
          <w:sz w:val="24"/>
          <w:szCs w:val="24"/>
          <w:lang w:val="de-DE" w:eastAsia="en-GB"/>
        </w:rPr>
        <w:t>, in de</w:t>
      </w:r>
      <w:r w:rsidR="00370E56">
        <w:rPr>
          <w:rFonts w:ascii="Times New Roman" w:eastAsia="Times New Roman" w:hAnsi="Times New Roman" w:cs="Times New Roman"/>
          <w:color w:val="242424"/>
          <w:sz w:val="24"/>
          <w:szCs w:val="24"/>
          <w:lang w:val="de-DE" w:eastAsia="en-GB"/>
        </w:rPr>
        <w:t>nen</w:t>
      </w:r>
      <w:r w:rsidRPr="00BB1D16">
        <w:rPr>
          <w:rFonts w:ascii="Times New Roman" w:eastAsia="Times New Roman" w:hAnsi="Times New Roman" w:cs="Times New Roman"/>
          <w:color w:val="242424"/>
          <w:sz w:val="24"/>
          <w:szCs w:val="24"/>
          <w:lang w:val="de-DE" w:eastAsia="en-GB"/>
        </w:rPr>
        <w:t xml:space="preserve"> die EU das Recht erhalten hat, handelspolitische Ausgleichsmaßnahmen (Vergeltungsmaßnahmen) zu ergreifen, die im Rahmen von Streitbeilegungsverfahren der WTO/bilateraler Freihandelsabkommen entschieden wurden</w:t>
      </w:r>
      <w:r>
        <w:rPr>
          <w:rFonts w:ascii="Times New Roman" w:eastAsia="Times New Roman" w:hAnsi="Times New Roman" w:cs="Times New Roman"/>
          <w:color w:val="242424"/>
          <w:sz w:val="24"/>
          <w:szCs w:val="24"/>
          <w:lang w:val="de-DE" w:eastAsia="en-GB"/>
        </w:rPr>
        <w:t xml:space="preserve"> und auf</w:t>
      </w:r>
      <w:r w:rsidRPr="00BB1D16">
        <w:rPr>
          <w:rFonts w:ascii="Times New Roman" w:eastAsia="Times New Roman" w:hAnsi="Times New Roman" w:cs="Times New Roman"/>
          <w:color w:val="242424"/>
          <w:sz w:val="24"/>
          <w:szCs w:val="24"/>
          <w:lang w:val="de-DE" w:eastAsia="en-GB"/>
        </w:rPr>
        <w:t xml:space="preserve"> </w:t>
      </w:r>
      <w:r w:rsidR="00302D3B">
        <w:rPr>
          <w:rFonts w:ascii="Times New Roman" w:eastAsia="Times New Roman" w:hAnsi="Times New Roman" w:cs="Times New Roman"/>
          <w:color w:val="242424"/>
          <w:sz w:val="24"/>
          <w:szCs w:val="24"/>
          <w:lang w:val="de-DE" w:eastAsia="en-GB"/>
        </w:rPr>
        <w:t>Fälle,</w:t>
      </w:r>
      <w:r w:rsidRPr="00BB1D16">
        <w:rPr>
          <w:rFonts w:ascii="Times New Roman" w:eastAsia="Times New Roman" w:hAnsi="Times New Roman" w:cs="Times New Roman"/>
          <w:color w:val="242424"/>
          <w:sz w:val="24"/>
          <w:szCs w:val="24"/>
          <w:lang w:val="de-DE" w:eastAsia="en-GB"/>
        </w:rPr>
        <w:t xml:space="preserve"> in denen es der Union gelungen ist, eine positive Entscheidung eines WTO-Panels zu erhalten, das Verfahren deshalb blockiert wird, weil die andere Partei </w:t>
      </w:r>
      <w:r w:rsidR="00370E56">
        <w:rPr>
          <w:rFonts w:ascii="Times New Roman" w:eastAsia="Times New Roman" w:hAnsi="Times New Roman" w:cs="Times New Roman"/>
          <w:color w:val="242424"/>
          <w:sz w:val="24"/>
          <w:szCs w:val="24"/>
          <w:lang w:val="de-DE" w:eastAsia="en-GB"/>
        </w:rPr>
        <w:t>gegen den</w:t>
      </w:r>
      <w:r w:rsidRPr="00BB1D16">
        <w:rPr>
          <w:rFonts w:ascii="Times New Roman" w:eastAsia="Times New Roman" w:hAnsi="Times New Roman" w:cs="Times New Roman"/>
          <w:color w:val="242424"/>
          <w:sz w:val="24"/>
          <w:szCs w:val="24"/>
          <w:lang w:val="de-DE" w:eastAsia="en-GB"/>
        </w:rPr>
        <w:t xml:space="preserve"> Panelbericht </w:t>
      </w:r>
      <w:r w:rsidR="00370E56">
        <w:rPr>
          <w:rFonts w:ascii="Times New Roman" w:eastAsia="Times New Roman" w:hAnsi="Times New Roman" w:cs="Times New Roman"/>
          <w:color w:val="242424"/>
          <w:sz w:val="24"/>
          <w:szCs w:val="24"/>
          <w:lang w:val="de-DE" w:eastAsia="en-GB"/>
        </w:rPr>
        <w:t>eine „Nichtigkeitsbeschwerde</w:t>
      </w:r>
      <w:r w:rsidRPr="00BB1D16">
        <w:rPr>
          <w:rFonts w:ascii="Times New Roman" w:eastAsia="Times New Roman" w:hAnsi="Times New Roman" w:cs="Times New Roman"/>
          <w:color w:val="242424"/>
          <w:sz w:val="24"/>
          <w:szCs w:val="24"/>
          <w:lang w:val="de-DE" w:eastAsia="en-GB"/>
        </w:rPr>
        <w:t>“ ein</w:t>
      </w:r>
      <w:r w:rsidR="001E6AE5">
        <w:rPr>
          <w:rFonts w:ascii="Times New Roman" w:eastAsia="Times New Roman" w:hAnsi="Times New Roman" w:cs="Times New Roman"/>
          <w:color w:val="242424"/>
          <w:sz w:val="24"/>
          <w:szCs w:val="24"/>
          <w:lang w:val="de-DE" w:eastAsia="en-GB"/>
        </w:rPr>
        <w:t>ge</w:t>
      </w:r>
      <w:r w:rsidRPr="00BB1D16">
        <w:rPr>
          <w:rFonts w:ascii="Times New Roman" w:eastAsia="Times New Roman" w:hAnsi="Times New Roman" w:cs="Times New Roman"/>
          <w:color w:val="242424"/>
          <w:sz w:val="24"/>
          <w:szCs w:val="24"/>
          <w:lang w:val="de-DE" w:eastAsia="en-GB"/>
        </w:rPr>
        <w:t>legt (weil das Berufungsgremium blockiert ist) und einem Interims-Beruf</w:t>
      </w:r>
      <w:r w:rsidR="00302D3B">
        <w:rPr>
          <w:rFonts w:ascii="Times New Roman" w:eastAsia="Times New Roman" w:hAnsi="Times New Roman" w:cs="Times New Roman"/>
          <w:color w:val="242424"/>
          <w:sz w:val="24"/>
          <w:szCs w:val="24"/>
          <w:lang w:val="de-DE" w:eastAsia="en-GB"/>
        </w:rPr>
        <w:t>ungs</w:t>
      </w:r>
      <w:r w:rsidRPr="00BB1D16">
        <w:rPr>
          <w:rFonts w:ascii="Times New Roman" w:eastAsia="Times New Roman" w:hAnsi="Times New Roman" w:cs="Times New Roman"/>
          <w:color w:val="242424"/>
          <w:sz w:val="24"/>
          <w:szCs w:val="24"/>
          <w:lang w:val="de-DE" w:eastAsia="en-GB"/>
        </w:rPr>
        <w:t>verfahren nach Art 25 der WTO-Streitbeilegungsvereinbarung nicht zugestimmt hat</w:t>
      </w:r>
      <w:r>
        <w:rPr>
          <w:rFonts w:ascii="Times New Roman" w:eastAsia="Times New Roman" w:hAnsi="Times New Roman" w:cs="Times New Roman"/>
          <w:color w:val="242424"/>
          <w:sz w:val="24"/>
          <w:szCs w:val="24"/>
          <w:lang w:val="de-DE" w:eastAsia="en-GB"/>
        </w:rPr>
        <w:t xml:space="preserve">. </w:t>
      </w:r>
      <w:r w:rsidRPr="00BB1D16">
        <w:rPr>
          <w:rFonts w:ascii="Times New Roman" w:eastAsia="Times New Roman" w:hAnsi="Times New Roman" w:cs="Times New Roman"/>
          <w:color w:val="242424"/>
          <w:sz w:val="24"/>
          <w:szCs w:val="24"/>
          <w:lang w:val="de-DE" w:eastAsia="en-GB"/>
        </w:rPr>
        <w:t xml:space="preserve">Eine wirksame Durchsetzung in der EU ist von entscheidender Bedeutung für die europäische </w:t>
      </w:r>
      <w:r>
        <w:rPr>
          <w:rFonts w:ascii="Times New Roman" w:eastAsia="Times New Roman" w:hAnsi="Times New Roman" w:cs="Times New Roman"/>
          <w:color w:val="242424"/>
          <w:sz w:val="24"/>
          <w:szCs w:val="24"/>
          <w:lang w:val="de-DE" w:eastAsia="en-GB"/>
        </w:rPr>
        <w:t>I</w:t>
      </w:r>
      <w:r w:rsidRPr="00BB1D16">
        <w:rPr>
          <w:rFonts w:ascii="Times New Roman" w:eastAsia="Times New Roman" w:hAnsi="Times New Roman" w:cs="Times New Roman"/>
          <w:color w:val="242424"/>
          <w:sz w:val="24"/>
          <w:szCs w:val="24"/>
          <w:lang w:val="de-DE" w:eastAsia="en-GB"/>
        </w:rPr>
        <w:t xml:space="preserve">ndustrie, die häufig mit Situationen konfrontiert ist, in denen </w:t>
      </w:r>
      <w:proofErr w:type="spellStart"/>
      <w:r w:rsidRPr="00F267D2">
        <w:rPr>
          <w:rFonts w:ascii="Times New Roman" w:eastAsia="Times New Roman" w:hAnsi="Times New Roman" w:cs="Times New Roman"/>
          <w:color w:val="242424"/>
          <w:sz w:val="24"/>
          <w:szCs w:val="24"/>
          <w:lang w:val="de-DE" w:eastAsia="en-GB"/>
        </w:rPr>
        <w:t>zB</w:t>
      </w:r>
      <w:proofErr w:type="spellEnd"/>
      <w:r>
        <w:rPr>
          <w:rFonts w:ascii="Times New Roman" w:eastAsia="Times New Roman" w:hAnsi="Times New Roman" w:cs="Times New Roman"/>
          <w:color w:val="242424"/>
          <w:sz w:val="24"/>
          <w:szCs w:val="24"/>
          <w:lang w:val="de-DE" w:eastAsia="en-GB"/>
        </w:rPr>
        <w:t xml:space="preserve"> </w:t>
      </w:r>
      <w:r w:rsidRPr="00BB1D16">
        <w:rPr>
          <w:rFonts w:ascii="Times New Roman" w:eastAsia="Times New Roman" w:hAnsi="Times New Roman" w:cs="Times New Roman"/>
          <w:color w:val="242424"/>
          <w:sz w:val="24"/>
          <w:szCs w:val="24"/>
          <w:lang w:val="de-DE" w:eastAsia="en-GB"/>
        </w:rPr>
        <w:t>ausländische Stahl</w:t>
      </w:r>
      <w:r w:rsidR="00F04345">
        <w:rPr>
          <w:rFonts w:ascii="Times New Roman" w:eastAsia="Times New Roman" w:hAnsi="Times New Roman" w:cs="Times New Roman"/>
          <w:color w:val="242424"/>
          <w:sz w:val="24"/>
          <w:szCs w:val="24"/>
          <w:lang w:val="de-DE" w:eastAsia="en-GB"/>
        </w:rPr>
        <w:t>e</w:t>
      </w:r>
      <w:r w:rsidRPr="00BB1D16">
        <w:rPr>
          <w:rFonts w:ascii="Times New Roman" w:eastAsia="Times New Roman" w:hAnsi="Times New Roman" w:cs="Times New Roman"/>
          <w:color w:val="242424"/>
          <w:sz w:val="24"/>
          <w:szCs w:val="24"/>
          <w:lang w:val="de-DE" w:eastAsia="en-GB"/>
        </w:rPr>
        <w:t>rzeuge</w:t>
      </w:r>
      <w:r w:rsidR="00F04345">
        <w:rPr>
          <w:rFonts w:ascii="Times New Roman" w:eastAsia="Times New Roman" w:hAnsi="Times New Roman" w:cs="Times New Roman"/>
          <w:color w:val="242424"/>
          <w:sz w:val="24"/>
          <w:szCs w:val="24"/>
          <w:lang w:val="de-DE" w:eastAsia="en-GB"/>
        </w:rPr>
        <w:t>r</w:t>
      </w:r>
      <w:r w:rsidRPr="00BB1D16">
        <w:rPr>
          <w:rFonts w:ascii="Times New Roman" w:eastAsia="Times New Roman" w:hAnsi="Times New Roman" w:cs="Times New Roman"/>
          <w:color w:val="242424"/>
          <w:sz w:val="24"/>
          <w:szCs w:val="24"/>
          <w:lang w:val="de-DE" w:eastAsia="en-GB"/>
        </w:rPr>
        <w:t xml:space="preserve"> die grundlegenden Verpflichtungen, die sie im Rahmen der WTO- und Freihandelsabkommen eingegangen sind, nicht einhalten</w:t>
      </w:r>
      <w:r w:rsidR="00F04345">
        <w:rPr>
          <w:rFonts w:ascii="Times New Roman" w:eastAsia="Times New Roman" w:hAnsi="Times New Roman" w:cs="Times New Roman"/>
          <w:color w:val="242424"/>
          <w:sz w:val="24"/>
          <w:szCs w:val="24"/>
          <w:lang w:val="de-DE" w:eastAsia="en-GB"/>
        </w:rPr>
        <w:t>.</w:t>
      </w:r>
      <w:r w:rsidR="00F04345">
        <w:rPr>
          <w:rStyle w:val="FootnoteReference"/>
          <w:rFonts w:ascii="Times New Roman" w:eastAsia="Times New Roman" w:hAnsi="Times New Roman" w:cs="Times New Roman"/>
          <w:color w:val="242424"/>
          <w:sz w:val="24"/>
          <w:szCs w:val="24"/>
          <w:lang w:val="de-DE" w:eastAsia="en-GB"/>
        </w:rPr>
        <w:footnoteReference w:id="47"/>
      </w:r>
    </w:p>
    <w:p w14:paraId="6CF365CB" w14:textId="77777777" w:rsidR="009F047C" w:rsidRDefault="009F047C"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47CD1EB3" w14:textId="78FDF067" w:rsidR="0059586E" w:rsidRPr="001E6AE5" w:rsidRDefault="009947C3" w:rsidP="001E6AE5">
      <w:pPr>
        <w:shd w:val="clear" w:color="auto" w:fill="FFFFFF"/>
        <w:spacing w:after="0" w:line="240" w:lineRule="auto"/>
        <w:jc w:val="both"/>
        <w:textAlignment w:val="baseline"/>
        <w:rPr>
          <w:rFonts w:ascii="Times New Roman" w:eastAsia="Times New Roman" w:hAnsi="Times New Roman" w:cs="Times New Roman"/>
          <w:i/>
          <w:iCs/>
          <w:color w:val="242424"/>
          <w:sz w:val="24"/>
          <w:szCs w:val="24"/>
          <w:lang w:val="de-DE" w:eastAsia="en-GB"/>
        </w:rPr>
      </w:pPr>
      <w:r w:rsidRPr="00F43A79">
        <w:rPr>
          <w:rFonts w:ascii="Times New Roman" w:eastAsia="Times New Roman" w:hAnsi="Times New Roman" w:cs="Times New Roman"/>
          <w:color w:val="242424"/>
          <w:sz w:val="24"/>
          <w:szCs w:val="24"/>
          <w:lang w:val="de-DE" w:eastAsia="en-GB"/>
        </w:rPr>
        <w:t>Staatseigene Unternehmen werden als Instrumente bezeichnet, durch die der Staat di</w:t>
      </w:r>
      <w:r w:rsidR="001E6AE5" w:rsidRPr="00F43A79">
        <w:rPr>
          <w:rFonts w:ascii="Times New Roman" w:eastAsia="Times New Roman" w:hAnsi="Times New Roman" w:cs="Times New Roman"/>
          <w:color w:val="242424"/>
          <w:sz w:val="24"/>
          <w:szCs w:val="24"/>
          <w:lang w:val="de-DE" w:eastAsia="en-GB"/>
        </w:rPr>
        <w:t xml:space="preserve">e </w:t>
      </w:r>
      <w:r w:rsidR="00484DB8" w:rsidRPr="00F04F40">
        <w:rPr>
          <w:rFonts w:ascii="Times New Roman" w:eastAsia="Times New Roman" w:hAnsi="Times New Roman" w:cs="Times New Roman"/>
          <w:color w:val="242424"/>
          <w:sz w:val="24"/>
          <w:szCs w:val="24"/>
          <w:lang w:val="de-DE" w:eastAsia="en-GB"/>
        </w:rPr>
        <w:t xml:space="preserve">Wirtschaft entscheidend beeinflusst, </w:t>
      </w:r>
      <w:r w:rsidR="00F04345" w:rsidRPr="00F04F40">
        <w:rPr>
          <w:rFonts w:ascii="Times New Roman" w:eastAsia="Times New Roman" w:hAnsi="Times New Roman" w:cs="Times New Roman"/>
          <w:color w:val="242424"/>
          <w:sz w:val="24"/>
          <w:szCs w:val="24"/>
          <w:lang w:val="de-DE" w:eastAsia="en-GB"/>
        </w:rPr>
        <w:t xml:space="preserve">manchmal mit marktverzerrenden Auswirkungen. </w:t>
      </w:r>
      <w:r w:rsidR="00484DB8" w:rsidRPr="00F04F40">
        <w:rPr>
          <w:rFonts w:ascii="Times New Roman" w:eastAsia="Times New Roman" w:hAnsi="Times New Roman" w:cs="Times New Roman"/>
          <w:color w:val="242424"/>
          <w:sz w:val="24"/>
          <w:szCs w:val="24"/>
          <w:lang w:val="de-DE" w:eastAsia="en-GB"/>
        </w:rPr>
        <w:t>I</w:t>
      </w:r>
      <w:r w:rsidR="0059586E" w:rsidRPr="00F04F40">
        <w:rPr>
          <w:rFonts w:ascii="Times New Roman" w:eastAsia="Times New Roman" w:hAnsi="Times New Roman" w:cs="Times New Roman"/>
          <w:color w:val="242424"/>
          <w:sz w:val="24"/>
          <w:szCs w:val="24"/>
          <w:lang w:val="de-DE" w:eastAsia="en-GB"/>
        </w:rPr>
        <w:t xml:space="preserve">nternationale Regeln für staatseigene Unternehmen </w:t>
      </w:r>
      <w:r w:rsidR="00484DB8" w:rsidRPr="00F04F40">
        <w:rPr>
          <w:rFonts w:ascii="Times New Roman" w:eastAsia="Times New Roman" w:hAnsi="Times New Roman" w:cs="Times New Roman"/>
          <w:color w:val="242424"/>
          <w:sz w:val="24"/>
          <w:szCs w:val="24"/>
          <w:lang w:val="de-DE" w:eastAsia="en-GB"/>
        </w:rPr>
        <w:t>fehlen</w:t>
      </w:r>
      <w:r w:rsidR="00F267D2" w:rsidRPr="00F04F40">
        <w:rPr>
          <w:rFonts w:ascii="Times New Roman" w:eastAsia="Times New Roman" w:hAnsi="Times New Roman" w:cs="Times New Roman"/>
          <w:color w:val="242424"/>
          <w:sz w:val="24"/>
          <w:szCs w:val="24"/>
          <w:lang w:val="de-DE" w:eastAsia="en-GB"/>
        </w:rPr>
        <w:t>.</w:t>
      </w:r>
      <w:r w:rsidR="00302D3B" w:rsidRPr="00F04F40">
        <w:rPr>
          <w:rStyle w:val="FootnoteReference"/>
          <w:rFonts w:ascii="Times New Roman" w:eastAsia="Times New Roman" w:hAnsi="Times New Roman" w:cs="Times New Roman"/>
          <w:color w:val="242424"/>
          <w:sz w:val="24"/>
          <w:szCs w:val="24"/>
          <w:lang w:val="de-DE" w:eastAsia="en-GB"/>
        </w:rPr>
        <w:footnoteReference w:id="48"/>
      </w:r>
      <w:r w:rsidR="00484DB8" w:rsidRPr="00F04F40">
        <w:rPr>
          <w:rFonts w:ascii="Times New Roman" w:eastAsia="Times New Roman" w:hAnsi="Times New Roman" w:cs="Times New Roman"/>
          <w:color w:val="242424"/>
          <w:sz w:val="24"/>
          <w:szCs w:val="24"/>
          <w:lang w:val="de-DE" w:eastAsia="en-GB"/>
        </w:rPr>
        <w:t xml:space="preserve"> </w:t>
      </w:r>
      <w:r w:rsidR="006C7FCC" w:rsidRPr="00F04F40">
        <w:rPr>
          <w:rFonts w:ascii="Times New Roman" w:eastAsia="Times New Roman" w:hAnsi="Times New Roman" w:cs="Times New Roman"/>
          <w:color w:val="242424"/>
          <w:sz w:val="24"/>
          <w:szCs w:val="24"/>
          <w:lang w:val="de-DE" w:eastAsia="en-GB"/>
        </w:rPr>
        <w:t>Chinesische staatseigene</w:t>
      </w:r>
      <w:r w:rsidR="006C7FCC" w:rsidRPr="006C7FCC">
        <w:rPr>
          <w:rFonts w:ascii="Times New Roman" w:eastAsia="Times New Roman" w:hAnsi="Times New Roman" w:cs="Times New Roman"/>
          <w:color w:val="242424"/>
          <w:sz w:val="24"/>
          <w:szCs w:val="24"/>
          <w:lang w:val="de-DE" w:eastAsia="en-GB"/>
        </w:rPr>
        <w:t xml:space="preserve"> Unternehmen tragen rund 30% zum BIP des Landes bei.</w:t>
      </w:r>
      <w:r w:rsidR="00841BA2">
        <w:rPr>
          <w:rStyle w:val="FootnoteReference"/>
          <w:rFonts w:ascii="Times New Roman" w:eastAsia="Times New Roman" w:hAnsi="Times New Roman" w:cs="Times New Roman"/>
          <w:color w:val="242424"/>
          <w:sz w:val="24"/>
          <w:szCs w:val="24"/>
          <w:lang w:val="de-DE" w:eastAsia="en-GB"/>
        </w:rPr>
        <w:footnoteReference w:id="49"/>
      </w:r>
      <w:r w:rsidR="006C7FCC" w:rsidRPr="006C7FCC">
        <w:rPr>
          <w:rFonts w:ascii="Times New Roman" w:eastAsia="Times New Roman" w:hAnsi="Times New Roman" w:cs="Times New Roman"/>
          <w:color w:val="242424"/>
          <w:sz w:val="24"/>
          <w:szCs w:val="24"/>
          <w:lang w:val="de-DE" w:eastAsia="en-GB"/>
        </w:rPr>
        <w:t xml:space="preserve">  </w:t>
      </w:r>
      <w:r w:rsidR="0059586E" w:rsidRPr="00BB1D16">
        <w:rPr>
          <w:rFonts w:ascii="Times New Roman" w:eastAsia="Times New Roman" w:hAnsi="Times New Roman" w:cs="Times New Roman"/>
          <w:color w:val="242424"/>
          <w:sz w:val="24"/>
          <w:szCs w:val="24"/>
          <w:lang w:val="de-DE" w:eastAsia="en-GB"/>
        </w:rPr>
        <w:t xml:space="preserve">Die EU hat moderne Handelsabkommen mit Industrieländern (Südkorea, </w:t>
      </w:r>
      <w:r w:rsidR="009544D2" w:rsidRPr="00BB1D16">
        <w:rPr>
          <w:rFonts w:ascii="Times New Roman" w:eastAsia="Times New Roman" w:hAnsi="Times New Roman" w:cs="Times New Roman"/>
          <w:color w:val="242424"/>
          <w:sz w:val="24"/>
          <w:szCs w:val="24"/>
          <w:lang w:val="de-DE" w:eastAsia="en-GB"/>
        </w:rPr>
        <w:t>Singapur, Kanada</w:t>
      </w:r>
      <w:r w:rsidR="0059586E" w:rsidRPr="00BB1D16">
        <w:rPr>
          <w:rFonts w:ascii="Times New Roman" w:eastAsia="Times New Roman" w:hAnsi="Times New Roman" w:cs="Times New Roman"/>
          <w:color w:val="242424"/>
          <w:sz w:val="24"/>
          <w:szCs w:val="24"/>
          <w:lang w:val="de-DE" w:eastAsia="en-GB"/>
        </w:rPr>
        <w:t xml:space="preserve">, Japan, Australien, Neuseeland), Schwellenländern (Mercosur, Mexiko, Chile) und Entwicklungsländern </w:t>
      </w:r>
      <w:r w:rsidR="0059586E" w:rsidRPr="00BB1D16">
        <w:rPr>
          <w:rFonts w:ascii="Times New Roman" w:eastAsia="Times New Roman" w:hAnsi="Times New Roman" w:cs="Times New Roman"/>
          <w:color w:val="242424"/>
          <w:sz w:val="24"/>
          <w:szCs w:val="24"/>
          <w:lang w:val="de-DE" w:eastAsia="en-GB"/>
        </w:rPr>
        <w:lastRenderedPageBreak/>
        <w:t>(Vietnam, Indonesien, Indien) geschlossen</w:t>
      </w:r>
      <w:r w:rsidR="0050181B">
        <w:rPr>
          <w:rStyle w:val="FootnoteReference"/>
          <w:rFonts w:ascii="Times New Roman" w:eastAsia="Times New Roman" w:hAnsi="Times New Roman" w:cs="Times New Roman"/>
          <w:color w:val="242424"/>
          <w:sz w:val="24"/>
          <w:szCs w:val="24"/>
          <w:lang w:val="de-DE" w:eastAsia="en-GB"/>
        </w:rPr>
        <w:footnoteReference w:id="50"/>
      </w:r>
      <w:r w:rsidR="00F43A79">
        <w:rPr>
          <w:rFonts w:ascii="Times New Roman" w:eastAsia="Times New Roman" w:hAnsi="Times New Roman" w:cs="Times New Roman"/>
          <w:color w:val="242424"/>
          <w:sz w:val="24"/>
          <w:szCs w:val="24"/>
          <w:lang w:val="de-DE" w:eastAsia="en-GB"/>
        </w:rPr>
        <w:t xml:space="preserve"> </w:t>
      </w:r>
      <w:r w:rsidR="0059586E" w:rsidRPr="00BB1D16">
        <w:rPr>
          <w:rFonts w:ascii="Times New Roman" w:eastAsia="Times New Roman" w:hAnsi="Times New Roman" w:cs="Times New Roman"/>
          <w:color w:val="242424"/>
          <w:sz w:val="24"/>
          <w:szCs w:val="24"/>
          <w:lang w:val="de-DE" w:eastAsia="en-GB"/>
        </w:rPr>
        <w:t>oder verhandelt</w:t>
      </w:r>
      <w:r w:rsidR="00C72971">
        <w:rPr>
          <w:rFonts w:ascii="Times New Roman" w:eastAsia="Times New Roman" w:hAnsi="Times New Roman" w:cs="Times New Roman"/>
          <w:color w:val="242424"/>
          <w:sz w:val="24"/>
          <w:szCs w:val="24"/>
          <w:lang w:val="de-DE" w:eastAsia="en-GB"/>
        </w:rPr>
        <w:t xml:space="preserve"> sie zum Zeitpunkt der Publikation dieses Beitrages</w:t>
      </w:r>
      <w:r w:rsidR="0059586E" w:rsidRPr="00BB1D16">
        <w:rPr>
          <w:rFonts w:ascii="Times New Roman" w:eastAsia="Times New Roman" w:hAnsi="Times New Roman" w:cs="Times New Roman"/>
          <w:color w:val="242424"/>
          <w:sz w:val="24"/>
          <w:szCs w:val="24"/>
          <w:lang w:val="de-DE" w:eastAsia="en-GB"/>
        </w:rPr>
        <w:t>.</w:t>
      </w:r>
      <w:r w:rsidR="00D53AC5">
        <w:rPr>
          <w:rFonts w:ascii="Times New Roman" w:eastAsia="Times New Roman" w:hAnsi="Times New Roman" w:cs="Times New Roman"/>
          <w:color w:val="242424"/>
          <w:sz w:val="24"/>
          <w:szCs w:val="24"/>
          <w:lang w:val="de-DE" w:eastAsia="en-GB"/>
        </w:rPr>
        <w:t xml:space="preserve"> </w:t>
      </w:r>
      <w:r w:rsidR="00C72971">
        <w:rPr>
          <w:rFonts w:ascii="Times New Roman" w:eastAsia="Times New Roman" w:hAnsi="Times New Roman" w:cs="Times New Roman"/>
          <w:color w:val="242424"/>
          <w:sz w:val="24"/>
          <w:szCs w:val="24"/>
          <w:lang w:val="de-DE" w:eastAsia="en-GB"/>
        </w:rPr>
        <w:t>F</w:t>
      </w:r>
      <w:r w:rsidR="0059586E" w:rsidRPr="00BB1D16">
        <w:rPr>
          <w:rFonts w:ascii="Times New Roman" w:eastAsia="Times New Roman" w:hAnsi="Times New Roman" w:cs="Times New Roman"/>
          <w:color w:val="242424"/>
          <w:sz w:val="24"/>
          <w:szCs w:val="24"/>
          <w:lang w:val="de-DE" w:eastAsia="en-GB"/>
        </w:rPr>
        <w:t xml:space="preserve">ür jedes Partnerland </w:t>
      </w:r>
      <w:r w:rsidR="00C72971">
        <w:rPr>
          <w:rFonts w:ascii="Times New Roman" w:eastAsia="Times New Roman" w:hAnsi="Times New Roman" w:cs="Times New Roman"/>
          <w:color w:val="242424"/>
          <w:sz w:val="24"/>
          <w:szCs w:val="24"/>
          <w:lang w:val="de-DE" w:eastAsia="en-GB"/>
        </w:rPr>
        <w:t xml:space="preserve">sind </w:t>
      </w:r>
      <w:r w:rsidR="0059586E" w:rsidRPr="00BB1D16">
        <w:rPr>
          <w:rFonts w:ascii="Times New Roman" w:eastAsia="Times New Roman" w:hAnsi="Times New Roman" w:cs="Times New Roman"/>
          <w:color w:val="242424"/>
          <w:sz w:val="24"/>
          <w:szCs w:val="24"/>
          <w:lang w:val="de-DE" w:eastAsia="en-GB"/>
        </w:rPr>
        <w:t xml:space="preserve">unterschiedliche Ansätze erforderlich: in einigen Fällen kann das Hauptziel die Förderung des Handels oder die wirtschaftliche Entwicklung des Partnerlandes sein, während die EU in anderen Fällen auf Wettbewerbspolitik, Subventionskontrolle und Maßnahmen </w:t>
      </w:r>
      <w:r w:rsidR="00B765DD">
        <w:rPr>
          <w:rFonts w:ascii="Times New Roman" w:eastAsia="Times New Roman" w:hAnsi="Times New Roman" w:cs="Times New Roman"/>
          <w:color w:val="242424"/>
          <w:sz w:val="24"/>
          <w:szCs w:val="24"/>
          <w:lang w:val="de-DE" w:eastAsia="en-GB"/>
        </w:rPr>
        <w:t xml:space="preserve">für </w:t>
      </w:r>
      <w:r w:rsidR="0059586E" w:rsidRPr="00BB1D16">
        <w:rPr>
          <w:rFonts w:ascii="Times New Roman" w:eastAsia="Times New Roman" w:hAnsi="Times New Roman" w:cs="Times New Roman"/>
          <w:color w:val="242424"/>
          <w:sz w:val="24"/>
          <w:szCs w:val="24"/>
          <w:lang w:val="de-DE" w:eastAsia="en-GB"/>
        </w:rPr>
        <w:t xml:space="preserve">staatseigene Unternehmen, </w:t>
      </w:r>
      <w:r w:rsidR="00B765DD">
        <w:rPr>
          <w:rFonts w:ascii="Times New Roman" w:eastAsia="Times New Roman" w:hAnsi="Times New Roman" w:cs="Times New Roman"/>
          <w:color w:val="242424"/>
          <w:sz w:val="24"/>
          <w:szCs w:val="24"/>
          <w:lang w:val="de-DE" w:eastAsia="en-GB"/>
        </w:rPr>
        <w:t>einen Schwerpunkt legt</w:t>
      </w:r>
      <w:r w:rsidR="0059586E" w:rsidRPr="00BB1D16">
        <w:rPr>
          <w:rFonts w:ascii="Times New Roman" w:eastAsia="Times New Roman" w:hAnsi="Times New Roman" w:cs="Times New Roman"/>
          <w:color w:val="242424"/>
          <w:sz w:val="24"/>
          <w:szCs w:val="24"/>
          <w:lang w:val="de-DE" w:eastAsia="en-GB"/>
        </w:rPr>
        <w:t xml:space="preserve">. </w:t>
      </w:r>
      <w:r w:rsidR="002B6ABA">
        <w:rPr>
          <w:rFonts w:ascii="Times New Roman" w:eastAsia="Times New Roman" w:hAnsi="Times New Roman" w:cs="Times New Roman"/>
          <w:color w:val="242424"/>
          <w:sz w:val="24"/>
          <w:szCs w:val="24"/>
          <w:lang w:val="de-DE" w:eastAsia="en-GB"/>
        </w:rPr>
        <w:t>D</w:t>
      </w:r>
      <w:r w:rsidR="0059586E" w:rsidRPr="00BB1D16">
        <w:rPr>
          <w:rFonts w:ascii="Times New Roman" w:eastAsia="Times New Roman" w:hAnsi="Times New Roman" w:cs="Times New Roman"/>
          <w:color w:val="242424"/>
          <w:sz w:val="24"/>
          <w:szCs w:val="24"/>
          <w:lang w:val="de-DE" w:eastAsia="en-GB"/>
        </w:rPr>
        <w:t xml:space="preserve">iese Abkommen </w:t>
      </w:r>
      <w:r w:rsidR="002B6ABA">
        <w:rPr>
          <w:rFonts w:ascii="Times New Roman" w:eastAsia="Times New Roman" w:hAnsi="Times New Roman" w:cs="Times New Roman"/>
          <w:color w:val="242424"/>
          <w:sz w:val="24"/>
          <w:szCs w:val="24"/>
          <w:lang w:val="de-DE" w:eastAsia="en-GB"/>
        </w:rPr>
        <w:t xml:space="preserve">enthalten </w:t>
      </w:r>
      <w:r w:rsidR="0059586E" w:rsidRPr="00BB1D16">
        <w:rPr>
          <w:rFonts w:ascii="Times New Roman" w:eastAsia="Times New Roman" w:hAnsi="Times New Roman" w:cs="Times New Roman"/>
          <w:color w:val="242424"/>
          <w:sz w:val="24"/>
          <w:szCs w:val="24"/>
          <w:lang w:val="de-DE" w:eastAsia="en-GB"/>
        </w:rPr>
        <w:t xml:space="preserve">Regeln, die das WTO-Recht widerspiegeln. </w:t>
      </w:r>
      <w:r w:rsidR="002B6ABA">
        <w:rPr>
          <w:rFonts w:ascii="Times New Roman" w:eastAsia="Times New Roman" w:hAnsi="Times New Roman" w:cs="Times New Roman"/>
          <w:color w:val="242424"/>
          <w:sz w:val="24"/>
          <w:szCs w:val="24"/>
          <w:lang w:val="de-DE" w:eastAsia="en-GB"/>
        </w:rPr>
        <w:t>In einigen Fällen</w:t>
      </w:r>
      <w:r w:rsidR="0059586E" w:rsidRPr="00BB1D16">
        <w:rPr>
          <w:rFonts w:ascii="Times New Roman" w:eastAsia="Times New Roman" w:hAnsi="Times New Roman" w:cs="Times New Roman"/>
          <w:color w:val="242424"/>
          <w:sz w:val="24"/>
          <w:szCs w:val="24"/>
          <w:lang w:val="de-DE" w:eastAsia="en-GB"/>
        </w:rPr>
        <w:t xml:space="preserve"> einigten sich die Staaten auf Bestimmungen, die über das WTO-Recht hinausgehen und zu einer tieferen Marktintegration führen</w:t>
      </w:r>
      <w:r w:rsidR="002B6ABA">
        <w:rPr>
          <w:rFonts w:ascii="Times New Roman" w:eastAsia="Times New Roman" w:hAnsi="Times New Roman" w:cs="Times New Roman"/>
          <w:color w:val="242424"/>
          <w:sz w:val="24"/>
          <w:szCs w:val="24"/>
          <w:lang w:val="de-DE" w:eastAsia="en-GB"/>
        </w:rPr>
        <w:t>.</w:t>
      </w:r>
      <w:r w:rsidR="002B6ABA">
        <w:rPr>
          <w:rStyle w:val="FootnoteReference"/>
          <w:rFonts w:ascii="Times New Roman" w:eastAsia="Times New Roman" w:hAnsi="Times New Roman" w:cs="Times New Roman"/>
          <w:color w:val="242424"/>
          <w:sz w:val="24"/>
          <w:szCs w:val="24"/>
          <w:lang w:val="de-DE" w:eastAsia="en-GB"/>
        </w:rPr>
        <w:footnoteReference w:id="51"/>
      </w:r>
      <w:r w:rsidR="002B6ABA">
        <w:rPr>
          <w:rFonts w:ascii="Times New Roman" w:eastAsia="Times New Roman" w:hAnsi="Times New Roman" w:cs="Times New Roman"/>
          <w:color w:val="242424"/>
          <w:sz w:val="24"/>
          <w:szCs w:val="24"/>
          <w:lang w:val="de-DE" w:eastAsia="en-GB"/>
        </w:rPr>
        <w:t xml:space="preserve"> </w:t>
      </w:r>
      <w:r w:rsidR="00C72971">
        <w:rPr>
          <w:rFonts w:ascii="Times New Roman" w:eastAsia="Times New Roman" w:hAnsi="Times New Roman" w:cs="Times New Roman"/>
          <w:color w:val="242424"/>
          <w:sz w:val="24"/>
          <w:szCs w:val="24"/>
          <w:lang w:val="de-DE" w:eastAsia="en-GB"/>
        </w:rPr>
        <w:t>D</w:t>
      </w:r>
      <w:r w:rsidR="0059586E" w:rsidRPr="00BB1D16">
        <w:rPr>
          <w:rFonts w:ascii="Times New Roman" w:eastAsia="Times New Roman" w:hAnsi="Times New Roman" w:cs="Times New Roman"/>
          <w:color w:val="242424"/>
          <w:sz w:val="24"/>
          <w:szCs w:val="24"/>
          <w:lang w:val="de-DE" w:eastAsia="en-GB"/>
        </w:rPr>
        <w:t xml:space="preserve">ie Definition des Begriffs „Subvention/staatliche Beihilfe“ </w:t>
      </w:r>
      <w:r w:rsidR="00C72971">
        <w:rPr>
          <w:rFonts w:ascii="Times New Roman" w:eastAsia="Times New Roman" w:hAnsi="Times New Roman" w:cs="Times New Roman"/>
          <w:color w:val="242424"/>
          <w:sz w:val="24"/>
          <w:szCs w:val="24"/>
          <w:lang w:val="de-DE" w:eastAsia="en-GB"/>
        </w:rPr>
        <w:t xml:space="preserve">erfasst </w:t>
      </w:r>
      <w:r w:rsidR="0059586E" w:rsidRPr="00BB1D16">
        <w:rPr>
          <w:rFonts w:ascii="Times New Roman" w:eastAsia="Times New Roman" w:hAnsi="Times New Roman" w:cs="Times New Roman"/>
          <w:color w:val="242424"/>
          <w:sz w:val="24"/>
          <w:szCs w:val="24"/>
          <w:lang w:val="de-DE" w:eastAsia="en-GB"/>
        </w:rPr>
        <w:t>nicht nur Waren, sondern auch Dienstleistungen.</w:t>
      </w:r>
      <w:r w:rsidR="002B6ABA">
        <w:rPr>
          <w:rStyle w:val="FootnoteReference"/>
          <w:rFonts w:ascii="Times New Roman" w:eastAsia="Times New Roman" w:hAnsi="Times New Roman" w:cs="Times New Roman"/>
          <w:color w:val="242424"/>
          <w:sz w:val="24"/>
          <w:szCs w:val="24"/>
          <w:lang w:val="de-DE" w:eastAsia="en-GB"/>
        </w:rPr>
        <w:footnoteReference w:id="52"/>
      </w:r>
      <w:r w:rsidR="002B6ABA">
        <w:rPr>
          <w:rFonts w:ascii="Times New Roman" w:eastAsia="Times New Roman" w:hAnsi="Times New Roman" w:cs="Times New Roman"/>
          <w:color w:val="242424"/>
          <w:sz w:val="24"/>
          <w:szCs w:val="24"/>
          <w:lang w:val="de-DE" w:eastAsia="en-GB"/>
        </w:rPr>
        <w:t xml:space="preserve"> </w:t>
      </w:r>
      <w:r w:rsidR="0059586E" w:rsidRPr="00BB1D16">
        <w:rPr>
          <w:rFonts w:ascii="Times New Roman" w:eastAsia="Times New Roman" w:hAnsi="Times New Roman" w:cs="Times New Roman"/>
          <w:color w:val="242424"/>
          <w:sz w:val="24"/>
          <w:szCs w:val="24"/>
          <w:lang w:val="de-DE" w:eastAsia="en-GB"/>
        </w:rPr>
        <w:t xml:space="preserve">Da es auf WTO-Ebene noch keine Parallelregelung für Subventionen für den Handel mit Dienstleistungen gibt, </w:t>
      </w:r>
      <w:r w:rsidR="00DD0EF8">
        <w:rPr>
          <w:rFonts w:ascii="Times New Roman" w:eastAsia="Times New Roman" w:hAnsi="Times New Roman" w:cs="Times New Roman"/>
          <w:color w:val="242424"/>
          <w:sz w:val="24"/>
          <w:szCs w:val="24"/>
          <w:lang w:val="de-DE" w:eastAsia="en-GB"/>
        </w:rPr>
        <w:t>w</w:t>
      </w:r>
      <w:r w:rsidR="0046607D">
        <w:rPr>
          <w:rFonts w:ascii="Times New Roman" w:eastAsia="Times New Roman" w:hAnsi="Times New Roman" w:cs="Times New Roman"/>
          <w:color w:val="242424"/>
          <w:sz w:val="24"/>
          <w:szCs w:val="24"/>
          <w:lang w:val="de-DE" w:eastAsia="en-GB"/>
        </w:rPr>
        <w:t>e</w:t>
      </w:r>
      <w:r w:rsidR="00DD0EF8">
        <w:rPr>
          <w:rFonts w:ascii="Times New Roman" w:eastAsia="Times New Roman" w:hAnsi="Times New Roman" w:cs="Times New Roman"/>
          <w:color w:val="242424"/>
          <w:sz w:val="24"/>
          <w:szCs w:val="24"/>
          <w:lang w:val="de-DE" w:eastAsia="en-GB"/>
        </w:rPr>
        <w:t>rd</w:t>
      </w:r>
      <w:r w:rsidR="0046607D">
        <w:rPr>
          <w:rFonts w:ascii="Times New Roman" w:eastAsia="Times New Roman" w:hAnsi="Times New Roman" w:cs="Times New Roman"/>
          <w:color w:val="242424"/>
          <w:sz w:val="24"/>
          <w:szCs w:val="24"/>
          <w:lang w:val="de-DE" w:eastAsia="en-GB"/>
        </w:rPr>
        <w:t>en</w:t>
      </w:r>
      <w:r w:rsidR="0059586E" w:rsidRPr="00BB1D16">
        <w:rPr>
          <w:rFonts w:ascii="Times New Roman" w:eastAsia="Times New Roman" w:hAnsi="Times New Roman" w:cs="Times New Roman"/>
          <w:color w:val="242424"/>
          <w:sz w:val="24"/>
          <w:szCs w:val="24"/>
          <w:lang w:val="de-DE" w:eastAsia="en-GB"/>
        </w:rPr>
        <w:t xml:space="preserve"> diese </w:t>
      </w:r>
      <w:r w:rsidR="0046607D">
        <w:rPr>
          <w:rFonts w:ascii="Times New Roman" w:eastAsia="Times New Roman" w:hAnsi="Times New Roman" w:cs="Times New Roman"/>
          <w:color w:val="242424"/>
          <w:sz w:val="24"/>
          <w:szCs w:val="24"/>
          <w:lang w:val="de-DE" w:eastAsia="en-GB"/>
        </w:rPr>
        <w:t>Abkommen</w:t>
      </w:r>
      <w:r w:rsidR="0059586E" w:rsidRPr="00BB1D16">
        <w:rPr>
          <w:rFonts w:ascii="Times New Roman" w:eastAsia="Times New Roman" w:hAnsi="Times New Roman" w:cs="Times New Roman"/>
          <w:color w:val="242424"/>
          <w:sz w:val="24"/>
          <w:szCs w:val="24"/>
          <w:lang w:val="de-DE" w:eastAsia="en-GB"/>
        </w:rPr>
        <w:t xml:space="preserve"> als WTO+ bezeichnet.</w:t>
      </w:r>
      <w:r w:rsidR="0059586E">
        <w:rPr>
          <w:rStyle w:val="FootnoteReference"/>
          <w:rFonts w:ascii="Times New Roman" w:eastAsia="Times New Roman" w:hAnsi="Times New Roman" w:cs="Times New Roman"/>
          <w:color w:val="242424"/>
          <w:sz w:val="24"/>
          <w:szCs w:val="24"/>
          <w:lang w:val="de-DE" w:eastAsia="en-GB"/>
        </w:rPr>
        <w:footnoteReference w:id="53"/>
      </w:r>
      <w:r w:rsidR="0059586E">
        <w:rPr>
          <w:rFonts w:ascii="Times New Roman" w:eastAsia="Times New Roman" w:hAnsi="Times New Roman" w:cs="Times New Roman"/>
          <w:color w:val="242424"/>
          <w:sz w:val="24"/>
          <w:szCs w:val="24"/>
          <w:lang w:val="de-DE" w:eastAsia="en-GB"/>
        </w:rPr>
        <w:t xml:space="preserve"> </w:t>
      </w:r>
    </w:p>
    <w:p w14:paraId="231F8C93" w14:textId="77777777" w:rsidR="0059586E" w:rsidRPr="00BB1D16"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3C389D02" w14:textId="0F10D285" w:rsidR="005F6F99" w:rsidRPr="00347A34" w:rsidRDefault="0059586E" w:rsidP="005F6F99">
      <w:pPr>
        <w:shd w:val="clear" w:color="auto" w:fill="FFFFFF"/>
        <w:spacing w:after="0" w:line="240" w:lineRule="auto"/>
        <w:jc w:val="both"/>
        <w:textAlignment w:val="baseline"/>
        <w:rPr>
          <w:rFonts w:ascii="Times New Roman" w:eastAsia="Times New Roman" w:hAnsi="Times New Roman" w:cs="Times New Roman"/>
          <w:color w:val="242424"/>
          <w:sz w:val="24"/>
          <w:szCs w:val="24"/>
          <w:highlight w:val="red"/>
          <w:lang w:val="de-DE" w:eastAsia="en-GB"/>
        </w:rPr>
      </w:pPr>
      <w:r w:rsidRPr="00BB1D16">
        <w:rPr>
          <w:rFonts w:ascii="Times New Roman" w:eastAsia="Times New Roman" w:hAnsi="Times New Roman" w:cs="Times New Roman"/>
          <w:color w:val="242424"/>
          <w:sz w:val="24"/>
          <w:szCs w:val="24"/>
          <w:lang w:val="de-DE" w:eastAsia="en-GB"/>
        </w:rPr>
        <w:t xml:space="preserve">Ein Beispiel für </w:t>
      </w:r>
      <w:r w:rsidRPr="00EB745F">
        <w:rPr>
          <w:rFonts w:ascii="Times New Roman" w:eastAsia="Times New Roman" w:hAnsi="Times New Roman" w:cs="Times New Roman"/>
          <w:color w:val="242424"/>
          <w:sz w:val="24"/>
          <w:szCs w:val="24"/>
          <w:lang w:val="de-DE" w:eastAsia="en-GB"/>
        </w:rPr>
        <w:t>WTO</w:t>
      </w:r>
      <w:r w:rsidR="00347A34" w:rsidRPr="00EB745F">
        <w:rPr>
          <w:rFonts w:ascii="Times New Roman" w:eastAsia="Times New Roman" w:hAnsi="Times New Roman" w:cs="Times New Roman"/>
          <w:color w:val="242424"/>
          <w:sz w:val="24"/>
          <w:szCs w:val="24"/>
          <w:lang w:val="de-DE" w:eastAsia="en-GB"/>
        </w:rPr>
        <w:t>+-</w:t>
      </w:r>
      <w:r w:rsidRPr="00EB745F">
        <w:rPr>
          <w:rFonts w:ascii="Times New Roman" w:eastAsia="Times New Roman" w:hAnsi="Times New Roman" w:cs="Times New Roman"/>
          <w:color w:val="242424"/>
          <w:sz w:val="24"/>
          <w:szCs w:val="24"/>
          <w:lang w:val="de-DE" w:eastAsia="en-GB"/>
        </w:rPr>
        <w:t>Bestimmungen</w:t>
      </w:r>
      <w:r w:rsidRPr="00BB1D16">
        <w:rPr>
          <w:rFonts w:ascii="Times New Roman" w:eastAsia="Times New Roman" w:hAnsi="Times New Roman" w:cs="Times New Roman"/>
          <w:color w:val="242424"/>
          <w:sz w:val="24"/>
          <w:szCs w:val="24"/>
          <w:lang w:val="de-DE" w:eastAsia="en-GB"/>
        </w:rPr>
        <w:t xml:space="preserve"> sind die Präferenzhandelsabkommen der EU</w:t>
      </w:r>
      <w:r>
        <w:rPr>
          <w:rStyle w:val="FootnoteReference"/>
          <w:rFonts w:ascii="Times New Roman" w:eastAsia="Times New Roman" w:hAnsi="Times New Roman" w:cs="Times New Roman"/>
          <w:color w:val="242424"/>
          <w:sz w:val="24"/>
          <w:szCs w:val="24"/>
          <w:lang w:val="de-DE" w:eastAsia="en-GB"/>
        </w:rPr>
        <w:footnoteReference w:id="54"/>
      </w:r>
      <w:r w:rsidRPr="00BB1D16">
        <w:rPr>
          <w:rFonts w:ascii="Times New Roman" w:eastAsia="Times New Roman" w:hAnsi="Times New Roman" w:cs="Times New Roman"/>
          <w:color w:val="242424"/>
          <w:sz w:val="24"/>
          <w:szCs w:val="24"/>
          <w:lang w:val="de-DE" w:eastAsia="en-GB"/>
        </w:rPr>
        <w:t xml:space="preserve">, </w:t>
      </w:r>
      <w:r w:rsidR="00347A34">
        <w:rPr>
          <w:rFonts w:ascii="Times New Roman" w:eastAsia="Times New Roman" w:hAnsi="Times New Roman" w:cs="Times New Roman"/>
          <w:color w:val="242424"/>
          <w:sz w:val="24"/>
          <w:szCs w:val="24"/>
          <w:lang w:val="de-DE" w:eastAsia="en-GB"/>
        </w:rPr>
        <w:t>welche</w:t>
      </w:r>
      <w:r w:rsidRPr="00BB1D16">
        <w:rPr>
          <w:rFonts w:ascii="Times New Roman" w:eastAsia="Times New Roman" w:hAnsi="Times New Roman" w:cs="Times New Roman"/>
          <w:color w:val="242424"/>
          <w:sz w:val="24"/>
          <w:szCs w:val="24"/>
          <w:lang w:val="de-DE" w:eastAsia="en-GB"/>
        </w:rPr>
        <w:t xml:space="preserve"> die Kategorie der verbotenen Subventionen erheblich erweitert haben. Diese sind: </w:t>
      </w:r>
      <w:r w:rsidR="00DD0EF8">
        <w:rPr>
          <w:rFonts w:ascii="Times New Roman" w:eastAsia="Times New Roman" w:hAnsi="Times New Roman" w:cs="Times New Roman"/>
          <w:color w:val="242424"/>
          <w:sz w:val="24"/>
          <w:szCs w:val="24"/>
          <w:lang w:val="de-DE" w:eastAsia="en-GB"/>
        </w:rPr>
        <w:t>i</w:t>
      </w:r>
      <w:r w:rsidRPr="00BB1D16">
        <w:rPr>
          <w:rFonts w:ascii="Times New Roman" w:eastAsia="Times New Roman" w:hAnsi="Times New Roman" w:cs="Times New Roman"/>
          <w:color w:val="242424"/>
          <w:sz w:val="24"/>
          <w:szCs w:val="24"/>
          <w:lang w:val="de-DE" w:eastAsia="en-GB"/>
        </w:rPr>
        <w:t>) Subventionen, bei denen ein Staat Schulden oder Verbindlichkeiten bestimmter Unternehmen ohne Beschränkung der Höhe dieser Schulden und Verbindlichkeiten oder der Laufzeit einer solchen Garantie garantiert, und ii) Subventionen für die Umstrukturierung eines angeschlagenen oder insolventen Unternehmens, ohne dass das Unternehmen einen glaubwürdigen Umstrukturierungsplan erstellt hat</w:t>
      </w:r>
      <w:r w:rsidRPr="00872B93">
        <w:rPr>
          <w:rFonts w:ascii="Times New Roman" w:eastAsia="Times New Roman" w:hAnsi="Times New Roman" w:cs="Times New Roman"/>
          <w:color w:val="242424"/>
          <w:sz w:val="24"/>
          <w:szCs w:val="24"/>
          <w:lang w:val="de-DE" w:eastAsia="en-GB"/>
        </w:rPr>
        <w:t xml:space="preserve">. </w:t>
      </w:r>
      <w:r w:rsidR="005F6F99" w:rsidRPr="00872B93">
        <w:rPr>
          <w:rFonts w:ascii="Times New Roman" w:eastAsia="Times New Roman" w:hAnsi="Times New Roman" w:cs="Times New Roman"/>
          <w:color w:val="242424"/>
          <w:sz w:val="24"/>
          <w:szCs w:val="24"/>
          <w:lang w:val="de-DE" w:eastAsia="en-GB"/>
        </w:rPr>
        <w:t xml:space="preserve">Aus handelspolitischer </w:t>
      </w:r>
      <w:r w:rsidR="00DD0EF8" w:rsidRPr="00872B93">
        <w:rPr>
          <w:rFonts w:ascii="Times New Roman" w:eastAsia="Times New Roman" w:hAnsi="Times New Roman" w:cs="Times New Roman"/>
          <w:color w:val="242424"/>
          <w:sz w:val="24"/>
          <w:szCs w:val="24"/>
          <w:lang w:val="de-DE" w:eastAsia="en-GB"/>
        </w:rPr>
        <w:t>Sicht “können</w:t>
      </w:r>
      <w:r w:rsidR="005F6F99" w:rsidRPr="00872B93">
        <w:rPr>
          <w:rFonts w:ascii="Times New Roman" w:eastAsia="Times New Roman" w:hAnsi="Times New Roman" w:cs="Times New Roman"/>
          <w:color w:val="242424"/>
          <w:sz w:val="24"/>
          <w:szCs w:val="24"/>
          <w:lang w:val="de-DE" w:eastAsia="en-GB"/>
        </w:rPr>
        <w:t xml:space="preserve"> Subventionen ebenso wirksam </w:t>
      </w:r>
      <w:r w:rsidR="00695804">
        <w:rPr>
          <w:rFonts w:ascii="Times New Roman" w:eastAsia="Times New Roman" w:hAnsi="Times New Roman" w:cs="Times New Roman"/>
          <w:color w:val="242424"/>
          <w:sz w:val="24"/>
          <w:szCs w:val="24"/>
          <w:lang w:val="de-DE" w:eastAsia="en-GB"/>
        </w:rPr>
        <w:t xml:space="preserve">sein </w:t>
      </w:r>
      <w:r w:rsidR="005F6F99" w:rsidRPr="00872B93">
        <w:rPr>
          <w:rFonts w:ascii="Times New Roman" w:eastAsia="Times New Roman" w:hAnsi="Times New Roman" w:cs="Times New Roman"/>
          <w:color w:val="242424"/>
          <w:sz w:val="24"/>
          <w:szCs w:val="24"/>
          <w:lang w:val="de-DE" w:eastAsia="en-GB"/>
        </w:rPr>
        <w:t>wie ein Handelshemmnis oder wie Zölle“</w:t>
      </w:r>
      <w:r w:rsidR="005F6F99" w:rsidRPr="00872B93">
        <w:rPr>
          <w:rStyle w:val="FootnoteReference"/>
          <w:rFonts w:ascii="Times New Roman" w:eastAsia="Times New Roman" w:hAnsi="Times New Roman" w:cs="Times New Roman"/>
          <w:color w:val="242424"/>
          <w:sz w:val="24"/>
          <w:szCs w:val="24"/>
          <w:lang w:val="de-DE" w:eastAsia="en-GB"/>
        </w:rPr>
        <w:footnoteReference w:id="55"/>
      </w:r>
      <w:r w:rsidR="00695804">
        <w:rPr>
          <w:rFonts w:ascii="Times New Roman" w:eastAsia="Times New Roman" w:hAnsi="Times New Roman" w:cs="Times New Roman"/>
          <w:color w:val="242424"/>
          <w:sz w:val="24"/>
          <w:szCs w:val="24"/>
          <w:lang w:val="de-DE" w:eastAsia="en-GB"/>
        </w:rPr>
        <w:t>.</w:t>
      </w:r>
      <w:r w:rsidR="005F6F99">
        <w:rPr>
          <w:rFonts w:ascii="Times New Roman" w:eastAsia="Times New Roman" w:hAnsi="Times New Roman" w:cs="Times New Roman"/>
          <w:color w:val="242424"/>
          <w:sz w:val="24"/>
          <w:szCs w:val="24"/>
          <w:lang w:val="de-DE" w:eastAsia="en-GB"/>
        </w:rPr>
        <w:t xml:space="preserve"> </w:t>
      </w:r>
    </w:p>
    <w:p w14:paraId="5CF322AB" w14:textId="77777777" w:rsidR="00C72971" w:rsidRDefault="00C72971"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bookmarkStart w:id="9" w:name="_Hlk151132103"/>
    </w:p>
    <w:p w14:paraId="3BF99FBB" w14:textId="6389A096" w:rsidR="0059586E"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Pr>
          <w:rFonts w:ascii="Times New Roman" w:eastAsia="Times New Roman" w:hAnsi="Times New Roman" w:cs="Times New Roman"/>
          <w:color w:val="242424"/>
          <w:sz w:val="24"/>
          <w:szCs w:val="24"/>
          <w:lang w:val="de-DE" w:eastAsia="en-GB"/>
        </w:rPr>
        <w:t xml:space="preserve">Das Thema hat mit der Einleitung einer </w:t>
      </w:r>
      <w:r w:rsidRPr="00E60A9B">
        <w:rPr>
          <w:rFonts w:ascii="Times New Roman" w:eastAsia="Times New Roman" w:hAnsi="Times New Roman" w:cs="Times New Roman"/>
          <w:color w:val="242424"/>
          <w:sz w:val="24"/>
          <w:szCs w:val="24"/>
          <w:lang w:val="de-DE" w:eastAsia="en-GB"/>
        </w:rPr>
        <w:t>offizielle</w:t>
      </w:r>
      <w:r>
        <w:rPr>
          <w:rFonts w:ascii="Times New Roman" w:eastAsia="Times New Roman" w:hAnsi="Times New Roman" w:cs="Times New Roman"/>
          <w:color w:val="242424"/>
          <w:sz w:val="24"/>
          <w:szCs w:val="24"/>
          <w:lang w:val="de-DE" w:eastAsia="en-GB"/>
        </w:rPr>
        <w:t>n</w:t>
      </w:r>
      <w:r w:rsidRPr="00E60A9B">
        <w:rPr>
          <w:rFonts w:ascii="Times New Roman" w:eastAsia="Times New Roman" w:hAnsi="Times New Roman" w:cs="Times New Roman"/>
          <w:color w:val="242424"/>
          <w:sz w:val="24"/>
          <w:szCs w:val="24"/>
          <w:lang w:val="de-DE" w:eastAsia="en-GB"/>
        </w:rPr>
        <w:t xml:space="preserve"> Antisubventionsuntersuchung </w:t>
      </w:r>
      <w:r>
        <w:rPr>
          <w:rFonts w:ascii="Times New Roman" w:eastAsia="Times New Roman" w:hAnsi="Times New Roman" w:cs="Times New Roman"/>
          <w:color w:val="242424"/>
          <w:sz w:val="24"/>
          <w:szCs w:val="24"/>
          <w:lang w:val="de-DE" w:eastAsia="en-GB"/>
        </w:rPr>
        <w:t xml:space="preserve">von </w:t>
      </w:r>
      <w:r w:rsidRPr="00E60A9B">
        <w:rPr>
          <w:rFonts w:ascii="Times New Roman" w:eastAsia="Times New Roman" w:hAnsi="Times New Roman" w:cs="Times New Roman"/>
          <w:color w:val="242424"/>
          <w:sz w:val="24"/>
          <w:szCs w:val="24"/>
          <w:lang w:val="de-DE" w:eastAsia="en-GB"/>
        </w:rPr>
        <w:t>Elektroautos aus China</w:t>
      </w:r>
      <w:r>
        <w:rPr>
          <w:rFonts w:ascii="Times New Roman" w:eastAsia="Times New Roman" w:hAnsi="Times New Roman" w:cs="Times New Roman"/>
          <w:color w:val="242424"/>
          <w:sz w:val="24"/>
          <w:szCs w:val="24"/>
          <w:lang w:val="de-DE" w:eastAsia="en-GB"/>
        </w:rPr>
        <w:t xml:space="preserve"> </w:t>
      </w:r>
      <w:r w:rsidR="00DD0EF8">
        <w:rPr>
          <w:rFonts w:ascii="Times New Roman" w:eastAsia="Times New Roman" w:hAnsi="Times New Roman" w:cs="Times New Roman"/>
          <w:color w:val="242424"/>
          <w:sz w:val="24"/>
          <w:szCs w:val="24"/>
          <w:lang w:val="de-DE" w:eastAsia="en-GB"/>
        </w:rPr>
        <w:t>a</w:t>
      </w:r>
      <w:r>
        <w:rPr>
          <w:rFonts w:ascii="Times New Roman" w:eastAsia="Times New Roman" w:hAnsi="Times New Roman" w:cs="Times New Roman"/>
          <w:color w:val="242424"/>
          <w:sz w:val="24"/>
          <w:szCs w:val="24"/>
          <w:lang w:val="de-DE" w:eastAsia="en-GB"/>
        </w:rPr>
        <w:t>n Aktualität gewonnen</w:t>
      </w:r>
      <w:r w:rsidR="00FD59AB">
        <w:rPr>
          <w:rFonts w:ascii="Times New Roman" w:eastAsia="Times New Roman" w:hAnsi="Times New Roman" w:cs="Times New Roman"/>
          <w:color w:val="242424"/>
          <w:sz w:val="24"/>
          <w:szCs w:val="24"/>
          <w:lang w:val="de-DE" w:eastAsia="en-GB"/>
        </w:rPr>
        <w:t>.</w:t>
      </w:r>
      <w:r>
        <w:rPr>
          <w:rStyle w:val="FootnoteReference"/>
          <w:rFonts w:ascii="Times New Roman" w:eastAsia="Times New Roman" w:hAnsi="Times New Roman" w:cs="Times New Roman"/>
          <w:color w:val="242424"/>
          <w:sz w:val="24"/>
          <w:szCs w:val="24"/>
          <w:lang w:val="de-DE" w:eastAsia="en-GB"/>
        </w:rPr>
        <w:footnoteReference w:id="56"/>
      </w:r>
      <w:r w:rsidR="00131DAE">
        <w:rPr>
          <w:rFonts w:ascii="Times New Roman" w:eastAsia="Times New Roman" w:hAnsi="Times New Roman" w:cs="Times New Roman"/>
          <w:color w:val="242424"/>
          <w:sz w:val="24"/>
          <w:szCs w:val="24"/>
          <w:lang w:val="de-DE" w:eastAsia="en-GB"/>
        </w:rPr>
        <w:t xml:space="preserve"> </w:t>
      </w:r>
      <w:r w:rsidRPr="00E60A9B">
        <w:rPr>
          <w:rFonts w:ascii="Times New Roman" w:eastAsia="Times New Roman" w:hAnsi="Times New Roman" w:cs="Times New Roman"/>
          <w:color w:val="242424"/>
          <w:sz w:val="24"/>
          <w:szCs w:val="24"/>
          <w:lang w:val="de-DE" w:eastAsia="en-GB"/>
        </w:rPr>
        <w:t>Die Kommission leitet diese Untersuchung auf eigene Initiative ein (ex officio), nachdem sie genügend Beweise dafür gesammelt hat, dass die Welle von subventionierten Billigimporten von Elektrofahrzeugen aus China in die EU eine wirtschaftliche Bedrohung für den Elektrofahrzeug-Sektor in der EU darstellt.</w:t>
      </w:r>
      <w:r w:rsidR="00C72971">
        <w:rPr>
          <w:rFonts w:ascii="Times New Roman" w:eastAsia="Times New Roman" w:hAnsi="Times New Roman" w:cs="Times New Roman"/>
          <w:color w:val="242424"/>
          <w:sz w:val="24"/>
          <w:szCs w:val="24"/>
          <w:lang w:val="de-DE" w:eastAsia="en-GB"/>
        </w:rPr>
        <w:t xml:space="preserve"> </w:t>
      </w:r>
      <w:r w:rsidRPr="00E60A9B">
        <w:rPr>
          <w:rFonts w:ascii="Times New Roman" w:eastAsia="Times New Roman" w:hAnsi="Times New Roman" w:cs="Times New Roman"/>
          <w:color w:val="242424"/>
          <w:sz w:val="24"/>
          <w:szCs w:val="24"/>
          <w:lang w:val="de-DE" w:eastAsia="en-GB"/>
        </w:rPr>
        <w:t>Die Untersuchung wird innerhalb von 13 Monaten nach ihrer Einleitung abgeschlossen sein. Wenn es rechtlich gerechtfertigt ist, können bis zu 9 Monate nach der Einleitung vorläufige Antisubventionszölle eingeführt werden. Endgültige Maßnahmen können bis zu vier Monate später oder innerhalb von 13 Monaten nach der Einleitung der Untersuchung eingeführt werden.</w:t>
      </w:r>
      <w:r>
        <w:rPr>
          <w:rFonts w:ascii="Times New Roman" w:eastAsia="Times New Roman" w:hAnsi="Times New Roman" w:cs="Times New Roman"/>
          <w:color w:val="242424"/>
          <w:sz w:val="24"/>
          <w:szCs w:val="24"/>
          <w:lang w:val="de-DE" w:eastAsia="en-GB"/>
        </w:rPr>
        <w:t xml:space="preserve"> </w:t>
      </w:r>
    </w:p>
    <w:bookmarkEnd w:id="9"/>
    <w:p w14:paraId="7271AA43" w14:textId="77777777" w:rsidR="0059586E"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587E7CA0" w14:textId="5C417147" w:rsidR="0059586E"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Pr>
          <w:rFonts w:ascii="Times New Roman" w:eastAsia="Times New Roman" w:hAnsi="Times New Roman" w:cs="Times New Roman"/>
          <w:color w:val="242424"/>
          <w:sz w:val="24"/>
          <w:szCs w:val="24"/>
          <w:lang w:val="de-DE" w:eastAsia="en-GB"/>
        </w:rPr>
        <w:t>Meine</w:t>
      </w:r>
      <w:r w:rsidRPr="00BB1D16">
        <w:rPr>
          <w:rFonts w:ascii="Times New Roman" w:eastAsia="Times New Roman" w:hAnsi="Times New Roman" w:cs="Times New Roman"/>
          <w:color w:val="242424"/>
          <w:sz w:val="24"/>
          <w:szCs w:val="24"/>
          <w:lang w:val="de-DE" w:eastAsia="en-GB"/>
        </w:rPr>
        <w:t xml:space="preserve"> Erkenntnis lautet, dass die handelspolitischen und geoökonomischen Spannungen, die durch nationale „</w:t>
      </w:r>
      <w:proofErr w:type="spellStart"/>
      <w:r w:rsidRPr="00BB1D16">
        <w:rPr>
          <w:rFonts w:ascii="Times New Roman" w:eastAsia="Times New Roman" w:hAnsi="Times New Roman" w:cs="Times New Roman"/>
          <w:color w:val="242424"/>
          <w:sz w:val="24"/>
          <w:szCs w:val="24"/>
          <w:lang w:val="de-DE" w:eastAsia="en-GB"/>
        </w:rPr>
        <w:t>go</w:t>
      </w:r>
      <w:proofErr w:type="spellEnd"/>
      <w:r w:rsidRPr="00BB1D16">
        <w:rPr>
          <w:rFonts w:ascii="Times New Roman" w:eastAsia="Times New Roman" w:hAnsi="Times New Roman" w:cs="Times New Roman"/>
          <w:color w:val="242424"/>
          <w:sz w:val="24"/>
          <w:szCs w:val="24"/>
          <w:lang w:val="de-DE" w:eastAsia="en-GB"/>
        </w:rPr>
        <w:t>-</w:t>
      </w:r>
      <w:proofErr w:type="spellStart"/>
      <w:r w:rsidRPr="00BB1D16">
        <w:rPr>
          <w:rFonts w:ascii="Times New Roman" w:eastAsia="Times New Roman" w:hAnsi="Times New Roman" w:cs="Times New Roman"/>
          <w:color w:val="242424"/>
          <w:sz w:val="24"/>
          <w:szCs w:val="24"/>
          <w:lang w:val="de-DE" w:eastAsia="en-GB"/>
        </w:rPr>
        <w:t>it</w:t>
      </w:r>
      <w:proofErr w:type="spellEnd"/>
      <w:r w:rsidRPr="00BB1D16">
        <w:rPr>
          <w:rFonts w:ascii="Times New Roman" w:eastAsia="Times New Roman" w:hAnsi="Times New Roman" w:cs="Times New Roman"/>
          <w:color w:val="242424"/>
          <w:sz w:val="24"/>
          <w:szCs w:val="24"/>
          <w:lang w:val="de-DE" w:eastAsia="en-GB"/>
        </w:rPr>
        <w:t>-</w:t>
      </w:r>
      <w:proofErr w:type="spellStart"/>
      <w:r w:rsidRPr="00BB1D16">
        <w:rPr>
          <w:rFonts w:ascii="Times New Roman" w:eastAsia="Times New Roman" w:hAnsi="Times New Roman" w:cs="Times New Roman"/>
          <w:color w:val="242424"/>
          <w:sz w:val="24"/>
          <w:szCs w:val="24"/>
          <w:lang w:val="de-DE" w:eastAsia="en-GB"/>
        </w:rPr>
        <w:t>alone</w:t>
      </w:r>
      <w:proofErr w:type="spellEnd"/>
      <w:r w:rsidRPr="00BB1D16">
        <w:rPr>
          <w:rFonts w:ascii="Times New Roman" w:eastAsia="Times New Roman" w:hAnsi="Times New Roman" w:cs="Times New Roman"/>
          <w:color w:val="242424"/>
          <w:sz w:val="24"/>
          <w:szCs w:val="24"/>
          <w:lang w:val="de-DE" w:eastAsia="en-GB"/>
        </w:rPr>
        <w:t xml:space="preserve">“-Strategien begünstigt wurden, die laufenden Veränderungen auf </w:t>
      </w:r>
      <w:r w:rsidRPr="00BB1D16">
        <w:rPr>
          <w:rFonts w:ascii="Times New Roman" w:eastAsia="Times New Roman" w:hAnsi="Times New Roman" w:cs="Times New Roman"/>
          <w:color w:val="242424"/>
          <w:sz w:val="24"/>
          <w:szCs w:val="24"/>
          <w:lang w:val="de-DE" w:eastAsia="en-GB"/>
        </w:rPr>
        <w:lastRenderedPageBreak/>
        <w:t xml:space="preserve">EU-Ebene beschleunigt haben. </w:t>
      </w:r>
      <w:r w:rsidR="00DD0EF8">
        <w:rPr>
          <w:rFonts w:ascii="Times New Roman" w:eastAsia="Times New Roman" w:hAnsi="Times New Roman" w:cs="Times New Roman"/>
          <w:color w:val="242424"/>
          <w:sz w:val="24"/>
          <w:szCs w:val="24"/>
          <w:lang w:val="de-DE" w:eastAsia="en-GB"/>
        </w:rPr>
        <w:t>D</w:t>
      </w:r>
      <w:r w:rsidRPr="00BB1D16">
        <w:rPr>
          <w:rFonts w:ascii="Times New Roman" w:eastAsia="Times New Roman" w:hAnsi="Times New Roman" w:cs="Times New Roman"/>
          <w:color w:val="242424"/>
          <w:sz w:val="24"/>
          <w:szCs w:val="24"/>
          <w:lang w:val="de-DE" w:eastAsia="en-GB"/>
        </w:rPr>
        <w:t xml:space="preserve">iese Entwicklungen </w:t>
      </w:r>
      <w:r w:rsidR="00DD0EF8">
        <w:rPr>
          <w:rFonts w:ascii="Times New Roman" w:eastAsia="Times New Roman" w:hAnsi="Times New Roman" w:cs="Times New Roman"/>
          <w:color w:val="242424"/>
          <w:sz w:val="24"/>
          <w:szCs w:val="24"/>
          <w:lang w:val="de-DE" w:eastAsia="en-GB"/>
        </w:rPr>
        <w:t xml:space="preserve">greifen </w:t>
      </w:r>
      <w:r w:rsidRPr="00BB1D16">
        <w:rPr>
          <w:rFonts w:ascii="Times New Roman" w:eastAsia="Times New Roman" w:hAnsi="Times New Roman" w:cs="Times New Roman"/>
          <w:color w:val="242424"/>
          <w:sz w:val="24"/>
          <w:szCs w:val="24"/>
          <w:lang w:val="de-DE" w:eastAsia="en-GB"/>
        </w:rPr>
        <w:t>stark in die traditionelle Offenheit des EU-Handelssystems ein</w:t>
      </w:r>
      <w:r w:rsidR="00DD0EF8">
        <w:rPr>
          <w:rFonts w:ascii="Times New Roman" w:eastAsia="Times New Roman" w:hAnsi="Times New Roman" w:cs="Times New Roman"/>
          <w:color w:val="242424"/>
          <w:sz w:val="24"/>
          <w:szCs w:val="24"/>
          <w:lang w:val="de-DE" w:eastAsia="en-GB"/>
        </w:rPr>
        <w:t>. E</w:t>
      </w:r>
      <w:r w:rsidRPr="00BB1D16">
        <w:rPr>
          <w:rFonts w:ascii="Times New Roman" w:eastAsia="Times New Roman" w:hAnsi="Times New Roman" w:cs="Times New Roman"/>
          <w:color w:val="242424"/>
          <w:sz w:val="24"/>
          <w:szCs w:val="24"/>
          <w:lang w:val="de-DE" w:eastAsia="en-GB"/>
        </w:rPr>
        <w:t>in politische</w:t>
      </w:r>
      <w:r w:rsidR="00DD0EF8">
        <w:rPr>
          <w:rFonts w:ascii="Times New Roman" w:eastAsia="Times New Roman" w:hAnsi="Times New Roman" w:cs="Times New Roman"/>
          <w:color w:val="242424"/>
          <w:sz w:val="24"/>
          <w:szCs w:val="24"/>
          <w:lang w:val="de-DE" w:eastAsia="en-GB"/>
        </w:rPr>
        <w:t>r</w:t>
      </w:r>
      <w:r w:rsidRPr="00BB1D16">
        <w:rPr>
          <w:rFonts w:ascii="Times New Roman" w:eastAsia="Times New Roman" w:hAnsi="Times New Roman" w:cs="Times New Roman"/>
          <w:color w:val="242424"/>
          <w:sz w:val="24"/>
          <w:szCs w:val="24"/>
          <w:lang w:val="de-DE" w:eastAsia="en-GB"/>
        </w:rPr>
        <w:t xml:space="preserve"> globale</w:t>
      </w:r>
      <w:r w:rsidR="00DD0EF8">
        <w:rPr>
          <w:rFonts w:ascii="Times New Roman" w:eastAsia="Times New Roman" w:hAnsi="Times New Roman" w:cs="Times New Roman"/>
          <w:color w:val="242424"/>
          <w:sz w:val="24"/>
          <w:szCs w:val="24"/>
          <w:lang w:val="de-DE" w:eastAsia="en-GB"/>
        </w:rPr>
        <w:t>r</w:t>
      </w:r>
      <w:r w:rsidRPr="00BB1D16">
        <w:rPr>
          <w:rFonts w:ascii="Times New Roman" w:eastAsia="Times New Roman" w:hAnsi="Times New Roman" w:cs="Times New Roman"/>
          <w:color w:val="242424"/>
          <w:sz w:val="24"/>
          <w:szCs w:val="24"/>
          <w:lang w:val="de-DE" w:eastAsia="en-GB"/>
        </w:rPr>
        <w:t xml:space="preserve"> Konsens über eine Modernisierung von Subventionen und Regeln für staatseigene Unternehmen auf Ebene der WTO </w:t>
      </w:r>
      <w:r w:rsidR="00D124F1">
        <w:rPr>
          <w:rFonts w:ascii="Times New Roman" w:eastAsia="Times New Roman" w:hAnsi="Times New Roman" w:cs="Times New Roman"/>
          <w:color w:val="242424"/>
          <w:sz w:val="24"/>
          <w:szCs w:val="24"/>
          <w:lang w:val="de-DE" w:eastAsia="en-GB"/>
        </w:rPr>
        <w:t>wird</w:t>
      </w:r>
      <w:r w:rsidRPr="00BB1D16">
        <w:rPr>
          <w:rFonts w:ascii="Times New Roman" w:eastAsia="Times New Roman" w:hAnsi="Times New Roman" w:cs="Times New Roman"/>
          <w:color w:val="242424"/>
          <w:sz w:val="24"/>
          <w:szCs w:val="24"/>
          <w:lang w:val="de-DE" w:eastAsia="en-GB"/>
        </w:rPr>
        <w:t xml:space="preserve"> </w:t>
      </w:r>
      <w:r w:rsidR="00DD0EF8">
        <w:rPr>
          <w:rFonts w:ascii="Times New Roman" w:eastAsia="Times New Roman" w:hAnsi="Times New Roman" w:cs="Times New Roman"/>
          <w:color w:val="242424"/>
          <w:sz w:val="24"/>
          <w:szCs w:val="24"/>
          <w:lang w:val="de-DE" w:eastAsia="en-GB"/>
        </w:rPr>
        <w:t xml:space="preserve">sehr schwierig zu </w:t>
      </w:r>
      <w:r w:rsidRPr="00BB1D16">
        <w:rPr>
          <w:rFonts w:ascii="Times New Roman" w:eastAsia="Times New Roman" w:hAnsi="Times New Roman" w:cs="Times New Roman"/>
          <w:color w:val="242424"/>
          <w:sz w:val="24"/>
          <w:szCs w:val="24"/>
          <w:lang w:val="de-DE" w:eastAsia="en-GB"/>
        </w:rPr>
        <w:t>erzielen</w:t>
      </w:r>
      <w:r w:rsidR="00D124F1">
        <w:rPr>
          <w:rFonts w:ascii="Times New Roman" w:eastAsia="Times New Roman" w:hAnsi="Times New Roman" w:cs="Times New Roman"/>
          <w:color w:val="242424"/>
          <w:sz w:val="24"/>
          <w:szCs w:val="24"/>
          <w:lang w:val="de-DE" w:eastAsia="en-GB"/>
        </w:rPr>
        <w:t xml:space="preserve"> sein.</w:t>
      </w:r>
    </w:p>
    <w:p w14:paraId="5C01B32D" w14:textId="77777777" w:rsidR="00DD0EF8" w:rsidRDefault="00DD0EF8"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2A2AC7B1" w14:textId="00B13756" w:rsidR="009754C7" w:rsidRPr="00C75645" w:rsidRDefault="0059586E" w:rsidP="00C75645">
      <w:pPr>
        <w:shd w:val="clear" w:color="auto" w:fill="FFFFFF"/>
        <w:spacing w:after="0" w:line="240" w:lineRule="auto"/>
        <w:textAlignment w:val="baseline"/>
        <w:rPr>
          <w:rFonts w:ascii="Times New Roman" w:eastAsia="Times New Roman" w:hAnsi="Times New Roman" w:cs="Times New Roman"/>
          <w:b/>
          <w:bCs/>
          <w:color w:val="242424"/>
          <w:sz w:val="24"/>
          <w:szCs w:val="24"/>
          <w:lang w:val="de-DE" w:eastAsia="en-GB"/>
        </w:rPr>
      </w:pPr>
      <w:bookmarkStart w:id="10" w:name="_Toc161050726"/>
      <w:r w:rsidRPr="00C75645">
        <w:rPr>
          <w:rStyle w:val="Heading2Char"/>
          <w:rFonts w:ascii="Times New Roman" w:hAnsi="Times New Roman" w:cs="Times New Roman"/>
          <w:b/>
          <w:bCs/>
          <w:color w:val="auto"/>
          <w:sz w:val="24"/>
          <w:szCs w:val="24"/>
          <w:lang w:val="de-AT"/>
        </w:rPr>
        <w:t>Verordnung der Europäischen Kommission zu Subventionen aus dem Ausland</w:t>
      </w:r>
      <w:bookmarkEnd w:id="10"/>
      <w:r w:rsidR="00FD2BC9">
        <w:rPr>
          <w:rStyle w:val="Heading2Char"/>
          <w:rFonts w:ascii="Times New Roman" w:hAnsi="Times New Roman" w:cs="Times New Roman"/>
          <w:b/>
          <w:bCs/>
          <w:color w:val="auto"/>
          <w:sz w:val="24"/>
          <w:szCs w:val="24"/>
          <w:lang w:val="de-AT"/>
        </w:rPr>
        <w:t xml:space="preserve"> (</w:t>
      </w:r>
      <w:r w:rsidR="00FD2BC9" w:rsidRPr="00FD2BC9">
        <w:rPr>
          <w:rFonts w:ascii="Times New Roman" w:eastAsia="Times New Roman" w:hAnsi="Times New Roman" w:cs="Times New Roman"/>
          <w:b/>
          <w:bCs/>
          <w:color w:val="242424"/>
          <w:sz w:val="24"/>
          <w:szCs w:val="24"/>
          <w:lang w:val="de-DE" w:eastAsia="en-GB"/>
        </w:rPr>
        <w:t>FSR</w:t>
      </w:r>
      <w:r w:rsidR="00FD2BC9" w:rsidRPr="00EF073F">
        <w:rPr>
          <w:rStyle w:val="FootnoteReference"/>
          <w:rFonts w:ascii="Times New Roman" w:eastAsia="Times New Roman" w:hAnsi="Times New Roman" w:cs="Times New Roman"/>
          <w:b/>
          <w:bCs/>
          <w:color w:val="242424"/>
          <w:sz w:val="24"/>
          <w:szCs w:val="24"/>
          <w:lang w:val="de-DE" w:eastAsia="en-GB"/>
        </w:rPr>
        <w:t xml:space="preserve"> </w:t>
      </w:r>
      <w:r w:rsidR="00FD2BC9">
        <w:rPr>
          <w:rFonts w:ascii="Times New Roman" w:eastAsia="Times New Roman" w:hAnsi="Times New Roman" w:cs="Times New Roman"/>
          <w:b/>
          <w:bCs/>
          <w:color w:val="242424"/>
          <w:sz w:val="24"/>
          <w:szCs w:val="24"/>
          <w:lang w:val="de-DE" w:eastAsia="en-GB"/>
        </w:rPr>
        <w:t>)</w:t>
      </w:r>
      <w:r w:rsidRPr="00EF073F">
        <w:rPr>
          <w:rStyle w:val="FootnoteReference"/>
          <w:rFonts w:ascii="Times New Roman" w:eastAsia="Times New Roman" w:hAnsi="Times New Roman" w:cs="Times New Roman"/>
          <w:b/>
          <w:bCs/>
          <w:color w:val="242424"/>
          <w:sz w:val="24"/>
          <w:szCs w:val="24"/>
          <w:lang w:val="de-DE" w:eastAsia="en-GB"/>
        </w:rPr>
        <w:footnoteReference w:id="57"/>
      </w:r>
    </w:p>
    <w:p w14:paraId="39E9681F" w14:textId="77777777" w:rsidR="006C7FCC" w:rsidRDefault="006C7FCC"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799FBF4C" w14:textId="2A663039" w:rsidR="006C7FCC" w:rsidRDefault="00D124F1"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Pr>
          <w:rFonts w:ascii="Times New Roman" w:eastAsia="Times New Roman" w:hAnsi="Times New Roman" w:cs="Times New Roman"/>
          <w:color w:val="242424"/>
          <w:sz w:val="24"/>
          <w:szCs w:val="24"/>
          <w:lang w:val="de-DE" w:eastAsia="en-GB"/>
        </w:rPr>
        <w:t>Da</w:t>
      </w:r>
      <w:r w:rsidR="0059586E" w:rsidRPr="00BB1D16">
        <w:rPr>
          <w:rFonts w:ascii="Times New Roman" w:eastAsia="Times New Roman" w:hAnsi="Times New Roman" w:cs="Times New Roman"/>
          <w:color w:val="242424"/>
          <w:sz w:val="24"/>
          <w:szCs w:val="24"/>
          <w:lang w:val="de-DE" w:eastAsia="en-GB"/>
        </w:rPr>
        <w:t xml:space="preserve">s </w:t>
      </w:r>
      <w:r w:rsidR="006C7FCC">
        <w:rPr>
          <w:rFonts w:ascii="Times New Roman" w:eastAsia="Times New Roman" w:hAnsi="Times New Roman" w:cs="Times New Roman"/>
          <w:color w:val="242424"/>
          <w:sz w:val="24"/>
          <w:szCs w:val="24"/>
          <w:lang w:val="de-DE" w:eastAsia="en-GB"/>
        </w:rPr>
        <w:t>WTO-</w:t>
      </w:r>
      <w:r>
        <w:rPr>
          <w:rFonts w:ascii="Times New Roman" w:eastAsia="Times New Roman" w:hAnsi="Times New Roman" w:cs="Times New Roman"/>
          <w:color w:val="242424"/>
          <w:sz w:val="24"/>
          <w:szCs w:val="24"/>
          <w:lang w:val="de-DE" w:eastAsia="en-GB"/>
        </w:rPr>
        <w:t>S</w:t>
      </w:r>
      <w:r w:rsidR="0059586E" w:rsidRPr="00BB1D16">
        <w:rPr>
          <w:rFonts w:ascii="Times New Roman" w:eastAsia="Times New Roman" w:hAnsi="Times New Roman" w:cs="Times New Roman"/>
          <w:color w:val="242424"/>
          <w:sz w:val="24"/>
          <w:szCs w:val="24"/>
          <w:lang w:val="de-DE" w:eastAsia="en-GB"/>
        </w:rPr>
        <w:t xml:space="preserve">ubventionsübereinkommen </w:t>
      </w:r>
      <w:r>
        <w:rPr>
          <w:rFonts w:ascii="Times New Roman" w:eastAsia="Times New Roman" w:hAnsi="Times New Roman" w:cs="Times New Roman"/>
          <w:color w:val="242424"/>
          <w:sz w:val="24"/>
          <w:szCs w:val="24"/>
          <w:lang w:val="de-DE" w:eastAsia="en-GB"/>
        </w:rPr>
        <w:t xml:space="preserve">gilt </w:t>
      </w:r>
      <w:r w:rsidR="0059586E" w:rsidRPr="00BB1D16">
        <w:rPr>
          <w:rFonts w:ascii="Times New Roman" w:eastAsia="Times New Roman" w:hAnsi="Times New Roman" w:cs="Times New Roman"/>
          <w:color w:val="242424"/>
          <w:sz w:val="24"/>
          <w:szCs w:val="24"/>
          <w:lang w:val="de-DE" w:eastAsia="en-GB"/>
        </w:rPr>
        <w:t>nur für subventionierte Einfuhren von Waren aus Drittländern</w:t>
      </w:r>
      <w:r w:rsidR="00207634">
        <w:rPr>
          <w:rFonts w:ascii="Times New Roman" w:eastAsia="Times New Roman" w:hAnsi="Times New Roman" w:cs="Times New Roman"/>
          <w:color w:val="242424"/>
          <w:sz w:val="24"/>
          <w:szCs w:val="24"/>
          <w:lang w:val="de-DE" w:eastAsia="en-GB"/>
        </w:rPr>
        <w:t xml:space="preserve"> und</w:t>
      </w:r>
      <w:r w:rsidR="0059586E" w:rsidRPr="00BB1D16">
        <w:rPr>
          <w:rFonts w:ascii="Times New Roman" w:eastAsia="Times New Roman" w:hAnsi="Times New Roman" w:cs="Times New Roman"/>
          <w:color w:val="242424"/>
          <w:sz w:val="24"/>
          <w:szCs w:val="24"/>
          <w:lang w:val="de-DE" w:eastAsia="en-GB"/>
        </w:rPr>
        <w:t xml:space="preserve"> nicht für Subventionen im Zusammenhang mit dem Handel mit Dienstleistungen und der Gründung und dem Betrieb von Unternehmen in der EU, die durch drittstaatliche Subventionen unterstützt werden.</w:t>
      </w:r>
      <w:r w:rsidR="00D53AC5">
        <w:rPr>
          <w:rFonts w:ascii="Times New Roman" w:eastAsia="Times New Roman" w:hAnsi="Times New Roman" w:cs="Times New Roman"/>
          <w:color w:val="242424"/>
          <w:sz w:val="24"/>
          <w:szCs w:val="24"/>
          <w:lang w:val="de-DE" w:eastAsia="en-GB"/>
        </w:rPr>
        <w:t xml:space="preserve"> </w:t>
      </w:r>
    </w:p>
    <w:p w14:paraId="4A4DFE1C" w14:textId="77777777" w:rsidR="005C26B6" w:rsidRDefault="005C26B6"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50A23D08" w14:textId="7F65A60A" w:rsidR="002678FA"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sidRPr="00BB1D16">
        <w:rPr>
          <w:rFonts w:ascii="Times New Roman" w:eastAsia="Times New Roman" w:hAnsi="Times New Roman" w:cs="Times New Roman"/>
          <w:color w:val="242424"/>
          <w:sz w:val="24"/>
          <w:szCs w:val="24"/>
          <w:lang w:val="de-DE" w:eastAsia="en-GB"/>
        </w:rPr>
        <w:t>Das EU-System der Beihilfenkontrolle, das in den Art 107 und 108 AEUV verankert ist, findet keine Anwendung, wenn Nicht-EU-Behörden Unternehmen in der EU entweder direkt oder über ihre Muttergesellschaften außerhalb der EU finanzielle Unterstützung gewähren. Ebenso wird weder in den EU-Kartellvorschriften</w:t>
      </w:r>
      <w:r>
        <w:rPr>
          <w:rStyle w:val="FootnoteReference"/>
          <w:rFonts w:ascii="Times New Roman" w:eastAsia="Times New Roman" w:hAnsi="Times New Roman" w:cs="Times New Roman"/>
          <w:color w:val="242424"/>
          <w:sz w:val="24"/>
          <w:szCs w:val="24"/>
          <w:lang w:val="de-DE" w:eastAsia="en-GB"/>
        </w:rPr>
        <w:footnoteReference w:id="58"/>
      </w:r>
      <w:r w:rsidR="00361739">
        <w:rPr>
          <w:rFonts w:ascii="Times New Roman" w:eastAsia="Times New Roman" w:hAnsi="Times New Roman" w:cs="Times New Roman"/>
          <w:color w:val="242424"/>
          <w:sz w:val="24"/>
          <w:szCs w:val="24"/>
          <w:lang w:val="de-DE" w:eastAsia="en-GB"/>
        </w:rPr>
        <w:t xml:space="preserve"> </w:t>
      </w:r>
      <w:r w:rsidRPr="00BB1D16">
        <w:rPr>
          <w:rFonts w:ascii="Times New Roman" w:eastAsia="Times New Roman" w:hAnsi="Times New Roman" w:cs="Times New Roman"/>
          <w:color w:val="242424"/>
          <w:sz w:val="24"/>
          <w:szCs w:val="24"/>
          <w:lang w:val="de-DE" w:eastAsia="en-GB"/>
        </w:rPr>
        <w:t>noch in den EU-Fusionskontrollvorschriften</w:t>
      </w:r>
      <w:r>
        <w:rPr>
          <w:rStyle w:val="FootnoteReference"/>
          <w:rFonts w:ascii="Times New Roman" w:eastAsia="Times New Roman" w:hAnsi="Times New Roman" w:cs="Times New Roman"/>
          <w:color w:val="242424"/>
          <w:sz w:val="24"/>
          <w:szCs w:val="24"/>
          <w:lang w:val="de-DE" w:eastAsia="en-GB"/>
        </w:rPr>
        <w:footnoteReference w:id="59"/>
      </w:r>
      <w:r w:rsidR="00AF79A6">
        <w:rPr>
          <w:rFonts w:ascii="Times New Roman" w:eastAsia="Times New Roman" w:hAnsi="Times New Roman" w:cs="Times New Roman"/>
          <w:color w:val="242424"/>
          <w:sz w:val="24"/>
          <w:szCs w:val="24"/>
          <w:lang w:val="de-DE" w:eastAsia="en-GB"/>
        </w:rPr>
        <w:t xml:space="preserve"> </w:t>
      </w:r>
      <w:r w:rsidRPr="00BB1D16">
        <w:rPr>
          <w:rFonts w:ascii="Times New Roman" w:eastAsia="Times New Roman" w:hAnsi="Times New Roman" w:cs="Times New Roman"/>
          <w:color w:val="242424"/>
          <w:sz w:val="24"/>
          <w:szCs w:val="24"/>
          <w:lang w:val="de-DE" w:eastAsia="en-GB"/>
        </w:rPr>
        <w:t>ausdrücklich berücksichtigt, ob ein Wirtschaftsteilnehmer möglicherweise drittstaatliche Subventionen erhalten hat</w:t>
      </w:r>
      <w:r w:rsidR="0025245E">
        <w:rPr>
          <w:rFonts w:ascii="Times New Roman" w:eastAsia="Times New Roman" w:hAnsi="Times New Roman" w:cs="Times New Roman"/>
          <w:color w:val="242424"/>
          <w:sz w:val="24"/>
          <w:szCs w:val="24"/>
          <w:lang w:val="de-DE" w:eastAsia="en-GB"/>
        </w:rPr>
        <w:t>.</w:t>
      </w:r>
      <w:r w:rsidRPr="00BB1D16">
        <w:rPr>
          <w:rFonts w:ascii="Times New Roman" w:eastAsia="Times New Roman" w:hAnsi="Times New Roman" w:cs="Times New Roman"/>
          <w:color w:val="242424"/>
          <w:sz w:val="24"/>
          <w:szCs w:val="24"/>
          <w:lang w:val="de-DE" w:eastAsia="en-GB"/>
        </w:rPr>
        <w:t xml:space="preserve"> </w:t>
      </w:r>
      <w:r w:rsidR="0025245E">
        <w:rPr>
          <w:rFonts w:ascii="Times New Roman" w:eastAsia="Times New Roman" w:hAnsi="Times New Roman" w:cs="Times New Roman"/>
          <w:color w:val="242424"/>
          <w:sz w:val="24"/>
          <w:szCs w:val="24"/>
          <w:lang w:val="de-DE" w:eastAsia="en-GB"/>
        </w:rPr>
        <w:t>D</w:t>
      </w:r>
      <w:r w:rsidRPr="00BB1D16">
        <w:rPr>
          <w:rFonts w:ascii="Times New Roman" w:eastAsia="Times New Roman" w:hAnsi="Times New Roman" w:cs="Times New Roman"/>
          <w:color w:val="242424"/>
          <w:sz w:val="24"/>
          <w:szCs w:val="24"/>
          <w:lang w:val="de-DE" w:eastAsia="en-GB"/>
        </w:rPr>
        <w:t>er bestehende EU-Rechtsrahmen im Bereich der Vergabe öffentlicher Aufträge</w:t>
      </w:r>
      <w:r w:rsidR="0025245E">
        <w:rPr>
          <w:rStyle w:val="FootnoteReference"/>
          <w:rFonts w:ascii="Times New Roman" w:eastAsia="Times New Roman" w:hAnsi="Times New Roman" w:cs="Times New Roman"/>
          <w:color w:val="242424"/>
          <w:sz w:val="24"/>
          <w:szCs w:val="24"/>
          <w:lang w:val="de-DE" w:eastAsia="en-GB"/>
        </w:rPr>
        <w:footnoteReference w:id="60"/>
      </w:r>
      <w:r w:rsidR="00D124F1">
        <w:rPr>
          <w:rFonts w:ascii="Times New Roman" w:eastAsia="Times New Roman" w:hAnsi="Times New Roman" w:cs="Times New Roman"/>
          <w:color w:val="242424"/>
          <w:sz w:val="24"/>
          <w:szCs w:val="24"/>
          <w:lang w:val="de-DE" w:eastAsia="en-GB"/>
        </w:rPr>
        <w:t xml:space="preserve"> ist</w:t>
      </w:r>
      <w:r w:rsidR="0025245E">
        <w:rPr>
          <w:rFonts w:ascii="Times New Roman" w:eastAsia="Times New Roman" w:hAnsi="Times New Roman" w:cs="Times New Roman"/>
          <w:color w:val="242424"/>
          <w:sz w:val="24"/>
          <w:szCs w:val="24"/>
          <w:lang w:val="de-DE" w:eastAsia="en-GB"/>
        </w:rPr>
        <w:t xml:space="preserve"> </w:t>
      </w:r>
      <w:r w:rsidRPr="00BB1D16">
        <w:rPr>
          <w:rFonts w:ascii="Times New Roman" w:eastAsia="Times New Roman" w:hAnsi="Times New Roman" w:cs="Times New Roman"/>
          <w:color w:val="242424"/>
          <w:sz w:val="24"/>
          <w:szCs w:val="24"/>
          <w:lang w:val="de-DE" w:eastAsia="en-GB"/>
        </w:rPr>
        <w:t xml:space="preserve">nicht auf Verzerrungen auf den EU-Beschaffungsmärkten durch drittstaatliche Subventionen </w:t>
      </w:r>
      <w:r w:rsidR="00D124F1">
        <w:rPr>
          <w:rFonts w:ascii="Times New Roman" w:eastAsia="Times New Roman" w:hAnsi="Times New Roman" w:cs="Times New Roman"/>
          <w:color w:val="242424"/>
          <w:sz w:val="24"/>
          <w:szCs w:val="24"/>
          <w:lang w:val="de-DE" w:eastAsia="en-GB"/>
        </w:rPr>
        <w:t xml:space="preserve">anwendbar. </w:t>
      </w:r>
      <w:r w:rsidR="00942A54">
        <w:rPr>
          <w:rFonts w:ascii="Times New Roman" w:eastAsia="Times New Roman" w:hAnsi="Times New Roman" w:cs="Times New Roman"/>
          <w:color w:val="242424"/>
          <w:sz w:val="24"/>
          <w:szCs w:val="24"/>
          <w:lang w:val="de-DE" w:eastAsia="en-GB"/>
        </w:rPr>
        <w:t xml:space="preserve">Daher besteht Regelbedarf. </w:t>
      </w:r>
    </w:p>
    <w:p w14:paraId="1F038BB9" w14:textId="77777777" w:rsidR="002678FA" w:rsidRDefault="002678FA"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1900B029" w14:textId="40577647" w:rsidR="005C26B6"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sidRPr="00BB1D16">
        <w:rPr>
          <w:rFonts w:ascii="Times New Roman" w:eastAsia="Times New Roman" w:hAnsi="Times New Roman" w:cs="Times New Roman"/>
          <w:color w:val="242424"/>
          <w:sz w:val="24"/>
          <w:szCs w:val="24"/>
          <w:lang w:val="de-DE" w:eastAsia="en-GB"/>
        </w:rPr>
        <w:t xml:space="preserve">Die neue Verordnung über drittstaatliche Subventionen legt den Schwerpunkt </w:t>
      </w:r>
      <w:r w:rsidR="00014056">
        <w:rPr>
          <w:rFonts w:ascii="Times New Roman" w:eastAsia="Times New Roman" w:hAnsi="Times New Roman" w:cs="Times New Roman"/>
          <w:color w:val="242424"/>
          <w:sz w:val="24"/>
          <w:szCs w:val="24"/>
          <w:lang w:val="de-DE" w:eastAsia="en-GB"/>
        </w:rPr>
        <w:t xml:space="preserve">daher </w:t>
      </w:r>
      <w:r w:rsidRPr="00BB1D16">
        <w:rPr>
          <w:rFonts w:ascii="Times New Roman" w:eastAsia="Times New Roman" w:hAnsi="Times New Roman" w:cs="Times New Roman"/>
          <w:color w:val="242424"/>
          <w:sz w:val="24"/>
          <w:szCs w:val="24"/>
          <w:lang w:val="de-DE" w:eastAsia="en-GB"/>
        </w:rPr>
        <w:t>auf zwei Hauptthemen</w:t>
      </w:r>
      <w:r w:rsidR="00D124F1" w:rsidRPr="002B6E2B">
        <w:rPr>
          <w:rStyle w:val="FootnoteReference"/>
          <w:rFonts w:ascii="Times New Roman" w:eastAsia="Times New Roman" w:hAnsi="Times New Roman" w:cs="Times New Roman"/>
          <w:color w:val="242424"/>
          <w:sz w:val="24"/>
          <w:szCs w:val="24"/>
          <w:lang w:val="de-DE" w:eastAsia="en-GB"/>
        </w:rPr>
        <w:footnoteReference w:id="61"/>
      </w:r>
      <w:r w:rsidR="005C26B6">
        <w:rPr>
          <w:rFonts w:ascii="Times New Roman" w:eastAsia="Times New Roman" w:hAnsi="Times New Roman" w:cs="Times New Roman"/>
          <w:color w:val="242424"/>
          <w:sz w:val="24"/>
          <w:szCs w:val="24"/>
          <w:lang w:val="de-DE" w:eastAsia="en-GB"/>
        </w:rPr>
        <w:t>.</w:t>
      </w:r>
      <w:r w:rsidR="00942A54">
        <w:rPr>
          <w:rFonts w:ascii="Times New Roman" w:eastAsia="Times New Roman" w:hAnsi="Times New Roman" w:cs="Times New Roman"/>
          <w:color w:val="242424"/>
          <w:sz w:val="24"/>
          <w:szCs w:val="24"/>
          <w:lang w:val="de-DE" w:eastAsia="en-GB"/>
        </w:rPr>
        <w:t xml:space="preserve"> </w:t>
      </w:r>
      <w:r>
        <w:rPr>
          <w:rFonts w:ascii="Times New Roman" w:eastAsia="Times New Roman" w:hAnsi="Times New Roman" w:cs="Times New Roman"/>
          <w:color w:val="242424"/>
          <w:sz w:val="24"/>
          <w:szCs w:val="24"/>
          <w:lang w:val="de-DE" w:eastAsia="en-GB"/>
        </w:rPr>
        <w:t xml:space="preserve">Zum einen auf die </w:t>
      </w:r>
      <w:r w:rsidRPr="00BB1D16">
        <w:rPr>
          <w:rFonts w:ascii="Times New Roman" w:eastAsia="Times New Roman" w:hAnsi="Times New Roman" w:cs="Times New Roman"/>
          <w:color w:val="242424"/>
          <w:sz w:val="24"/>
          <w:szCs w:val="24"/>
          <w:lang w:val="de-DE" w:eastAsia="en-GB"/>
        </w:rPr>
        <w:t>Ermittlung wettbewerbsverzerrender drittstaatlicher Subventionen und Beseitigung der dadurch verursachten Verzerrungen.</w:t>
      </w:r>
      <w:r w:rsidR="00942A54">
        <w:rPr>
          <w:rFonts w:ascii="Times New Roman" w:eastAsia="Times New Roman" w:hAnsi="Times New Roman" w:cs="Times New Roman"/>
          <w:color w:val="242424"/>
          <w:sz w:val="24"/>
          <w:szCs w:val="24"/>
          <w:lang w:val="de-DE" w:eastAsia="en-GB"/>
        </w:rPr>
        <w:t xml:space="preserve"> </w:t>
      </w:r>
      <w:r>
        <w:rPr>
          <w:rFonts w:ascii="Times New Roman" w:eastAsia="Times New Roman" w:hAnsi="Times New Roman" w:cs="Times New Roman"/>
          <w:color w:val="242424"/>
          <w:sz w:val="24"/>
          <w:szCs w:val="24"/>
          <w:lang w:val="de-DE" w:eastAsia="en-GB"/>
        </w:rPr>
        <w:t xml:space="preserve">Zum anderem ist </w:t>
      </w:r>
      <w:r w:rsidRPr="00BB1D16">
        <w:rPr>
          <w:rFonts w:ascii="Times New Roman" w:eastAsia="Times New Roman" w:hAnsi="Times New Roman" w:cs="Times New Roman"/>
          <w:color w:val="242424"/>
          <w:sz w:val="24"/>
          <w:szCs w:val="24"/>
          <w:lang w:val="de-DE" w:eastAsia="en-GB"/>
        </w:rPr>
        <w:t>die Kommission bei Angeboten für öffentliche Aufträge nach demselben (Ex-ante-Instrument</w:t>
      </w:r>
      <w:r w:rsidR="00942A54">
        <w:rPr>
          <w:rFonts w:ascii="Times New Roman" w:eastAsia="Times New Roman" w:hAnsi="Times New Roman" w:cs="Times New Roman"/>
          <w:color w:val="242424"/>
          <w:sz w:val="24"/>
          <w:szCs w:val="24"/>
          <w:lang w:val="de-DE" w:eastAsia="en-GB"/>
        </w:rPr>
        <w:t>)</w:t>
      </w:r>
      <w:r w:rsidRPr="00BB1D16">
        <w:rPr>
          <w:rFonts w:ascii="Times New Roman" w:eastAsia="Times New Roman" w:hAnsi="Times New Roman" w:cs="Times New Roman"/>
          <w:color w:val="242424"/>
          <w:sz w:val="24"/>
          <w:szCs w:val="24"/>
          <w:lang w:val="de-DE" w:eastAsia="en-GB"/>
        </w:rPr>
        <w:t xml:space="preserve"> befugt, eine finanzielle Beihilfe einer Nicht-EU-Regierung zu prüfen</w:t>
      </w:r>
      <w:r w:rsidR="0059144F">
        <w:rPr>
          <w:rFonts w:ascii="Times New Roman" w:eastAsia="Times New Roman" w:hAnsi="Times New Roman" w:cs="Times New Roman"/>
          <w:color w:val="242424"/>
          <w:sz w:val="24"/>
          <w:szCs w:val="24"/>
          <w:lang w:val="de-DE" w:eastAsia="en-GB"/>
        </w:rPr>
        <w:t>.</w:t>
      </w:r>
      <w:r w:rsidR="0025245E">
        <w:rPr>
          <w:rFonts w:ascii="Times New Roman" w:eastAsia="Times New Roman" w:hAnsi="Times New Roman" w:cs="Times New Roman"/>
          <w:color w:val="242424"/>
          <w:sz w:val="24"/>
          <w:szCs w:val="24"/>
          <w:lang w:val="de-DE" w:eastAsia="en-GB"/>
        </w:rPr>
        <w:t xml:space="preserve"> </w:t>
      </w:r>
      <w:r w:rsidRPr="000F6B95">
        <w:rPr>
          <w:rFonts w:ascii="Times New Roman" w:eastAsia="Times New Roman" w:hAnsi="Times New Roman" w:cs="Times New Roman"/>
          <w:color w:val="242424"/>
          <w:sz w:val="24"/>
          <w:szCs w:val="24"/>
          <w:lang w:val="de-DE" w:eastAsia="en-GB"/>
        </w:rPr>
        <w:t>Die Verordnung sieht vor, dass eine drittstaatliche Subvention vorliegt, „wenn ein Drittland unmittelbar oder mittelbar eine finanzielle Zuwendung gewährt, die einem Unternehmen, das eine wirtschaftliche Tätigkeit im Binnenmarkt ausübt, einen Vorteil verschafft</w:t>
      </w:r>
      <w:r w:rsidR="007328B0">
        <w:rPr>
          <w:rFonts w:ascii="Times New Roman" w:eastAsia="Times New Roman" w:hAnsi="Times New Roman" w:cs="Times New Roman"/>
          <w:color w:val="242424"/>
          <w:sz w:val="24"/>
          <w:szCs w:val="24"/>
          <w:lang w:val="de-DE" w:eastAsia="en-GB"/>
        </w:rPr>
        <w:t>“</w:t>
      </w:r>
      <w:r w:rsidRPr="000F6B95">
        <w:rPr>
          <w:rFonts w:ascii="Times New Roman" w:eastAsia="Times New Roman" w:hAnsi="Times New Roman" w:cs="Times New Roman"/>
          <w:color w:val="242424"/>
          <w:sz w:val="24"/>
          <w:szCs w:val="24"/>
          <w:lang w:val="de-DE" w:eastAsia="en-GB"/>
        </w:rPr>
        <w:t xml:space="preserve">. </w:t>
      </w:r>
    </w:p>
    <w:p w14:paraId="337A53C9" w14:textId="77777777" w:rsidR="005C26B6" w:rsidRDefault="005C26B6"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0722F831" w14:textId="375323B2" w:rsidR="005C26B6"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Pr>
          <w:rFonts w:ascii="Times New Roman" w:eastAsia="Times New Roman" w:hAnsi="Times New Roman" w:cs="Times New Roman"/>
          <w:color w:val="242424"/>
          <w:sz w:val="24"/>
          <w:szCs w:val="24"/>
          <w:lang w:val="de-DE" w:eastAsia="en-GB"/>
        </w:rPr>
        <w:t xml:space="preserve">Es gibt eine </w:t>
      </w:r>
      <w:r w:rsidRPr="000F6B95">
        <w:rPr>
          <w:rFonts w:ascii="Times New Roman" w:eastAsia="Times New Roman" w:hAnsi="Times New Roman" w:cs="Times New Roman"/>
          <w:color w:val="242424"/>
          <w:sz w:val="24"/>
          <w:szCs w:val="24"/>
          <w:lang w:val="de-DE" w:eastAsia="en-GB"/>
        </w:rPr>
        <w:t>Meldepflicht für Transaktionen, bei denen der Umsatz des EU-Ziel</w:t>
      </w:r>
      <w:r>
        <w:rPr>
          <w:rFonts w:ascii="Times New Roman" w:eastAsia="Times New Roman" w:hAnsi="Times New Roman" w:cs="Times New Roman"/>
          <w:color w:val="242424"/>
          <w:sz w:val="24"/>
          <w:szCs w:val="24"/>
          <w:lang w:val="de-DE" w:eastAsia="en-GB"/>
        </w:rPr>
        <w:t>lande</w:t>
      </w:r>
      <w:r w:rsidRPr="000F6B95">
        <w:rPr>
          <w:rFonts w:ascii="Times New Roman" w:eastAsia="Times New Roman" w:hAnsi="Times New Roman" w:cs="Times New Roman"/>
          <w:color w:val="242424"/>
          <w:sz w:val="24"/>
          <w:szCs w:val="24"/>
          <w:lang w:val="de-DE" w:eastAsia="en-GB"/>
        </w:rPr>
        <w:t>s 500 Mio</w:t>
      </w:r>
      <w:r w:rsidR="007328B0">
        <w:rPr>
          <w:rFonts w:ascii="Times New Roman" w:eastAsia="Times New Roman" w:hAnsi="Times New Roman" w:cs="Times New Roman"/>
          <w:color w:val="242424"/>
          <w:sz w:val="24"/>
          <w:szCs w:val="24"/>
          <w:lang w:val="de-DE" w:eastAsia="en-GB"/>
        </w:rPr>
        <w:t>.</w:t>
      </w:r>
      <w:r w:rsidRPr="000F6B95">
        <w:rPr>
          <w:rFonts w:ascii="Times New Roman" w:eastAsia="Times New Roman" w:hAnsi="Times New Roman" w:cs="Times New Roman"/>
          <w:color w:val="242424"/>
          <w:sz w:val="24"/>
          <w:szCs w:val="24"/>
          <w:lang w:val="de-DE" w:eastAsia="en-GB"/>
        </w:rPr>
        <w:t xml:space="preserve"> EUR übersteigt und die betreffenden Unternehmen in den vorangegangenen drei Geschäftsjahren finanzielle Zuwendungen von mindestens 50 Mio. EUR von Drittländern erhalten haben</w:t>
      </w:r>
      <w:r>
        <w:rPr>
          <w:rFonts w:ascii="Times New Roman" w:eastAsia="Times New Roman" w:hAnsi="Times New Roman" w:cs="Times New Roman"/>
          <w:color w:val="242424"/>
          <w:sz w:val="24"/>
          <w:szCs w:val="24"/>
          <w:lang w:val="de-DE" w:eastAsia="en-GB"/>
        </w:rPr>
        <w:t>.</w:t>
      </w:r>
      <w:r w:rsidR="00DD3457">
        <w:rPr>
          <w:rStyle w:val="FootnoteReference"/>
          <w:rFonts w:ascii="Times New Roman" w:eastAsia="Times New Roman" w:hAnsi="Times New Roman" w:cs="Times New Roman"/>
          <w:color w:val="242424"/>
          <w:sz w:val="24"/>
          <w:szCs w:val="24"/>
          <w:lang w:val="de-DE" w:eastAsia="en-GB"/>
        </w:rPr>
        <w:footnoteReference w:id="62"/>
      </w:r>
      <w:r>
        <w:rPr>
          <w:rFonts w:ascii="Times New Roman" w:eastAsia="Times New Roman" w:hAnsi="Times New Roman" w:cs="Times New Roman"/>
          <w:color w:val="242424"/>
          <w:sz w:val="24"/>
          <w:szCs w:val="24"/>
          <w:lang w:val="de-DE" w:eastAsia="en-GB"/>
        </w:rPr>
        <w:t xml:space="preserve"> Sie erfasst </w:t>
      </w:r>
      <w:r w:rsidRPr="000F6B95">
        <w:rPr>
          <w:rFonts w:ascii="Times New Roman" w:eastAsia="Times New Roman" w:hAnsi="Times New Roman" w:cs="Times New Roman"/>
          <w:color w:val="242424"/>
          <w:sz w:val="24"/>
          <w:szCs w:val="24"/>
          <w:lang w:val="de-DE" w:eastAsia="en-GB"/>
        </w:rPr>
        <w:t>Bieter in EU-Ausschreibungen</w:t>
      </w:r>
      <w:r>
        <w:rPr>
          <w:rStyle w:val="FootnoteReference"/>
          <w:rFonts w:ascii="Times New Roman" w:eastAsia="Times New Roman" w:hAnsi="Times New Roman" w:cs="Times New Roman"/>
          <w:color w:val="242424"/>
          <w:sz w:val="24"/>
          <w:szCs w:val="24"/>
          <w:lang w:val="de-DE" w:eastAsia="en-GB"/>
        </w:rPr>
        <w:footnoteReference w:id="63"/>
      </w:r>
      <w:r w:rsidR="00942A54">
        <w:rPr>
          <w:rFonts w:ascii="Times New Roman" w:eastAsia="Times New Roman" w:hAnsi="Times New Roman" w:cs="Times New Roman"/>
          <w:color w:val="242424"/>
          <w:sz w:val="24"/>
          <w:szCs w:val="24"/>
          <w:lang w:val="de-DE" w:eastAsia="en-GB"/>
        </w:rPr>
        <w:t xml:space="preserve"> </w:t>
      </w:r>
      <w:r w:rsidRPr="000F6B95">
        <w:rPr>
          <w:rFonts w:ascii="Times New Roman" w:eastAsia="Times New Roman" w:hAnsi="Times New Roman" w:cs="Times New Roman"/>
          <w:color w:val="242424"/>
          <w:sz w:val="24"/>
          <w:szCs w:val="24"/>
          <w:lang w:val="de-DE" w:eastAsia="en-GB"/>
        </w:rPr>
        <w:t xml:space="preserve">für Aufträge im Wert von 250 </w:t>
      </w:r>
      <w:r w:rsidRPr="000F6B95">
        <w:rPr>
          <w:rFonts w:ascii="Times New Roman" w:eastAsia="Times New Roman" w:hAnsi="Times New Roman" w:cs="Times New Roman"/>
          <w:color w:val="242424"/>
          <w:sz w:val="24"/>
          <w:szCs w:val="24"/>
          <w:lang w:val="de-DE" w:eastAsia="en-GB"/>
        </w:rPr>
        <w:lastRenderedPageBreak/>
        <w:t>Mio. EUR oder mehr, die finanzielle Zuwendungen von mindestens 4 Mio. EUR aus Drittländern erhalten haben</w:t>
      </w:r>
      <w:r>
        <w:rPr>
          <w:rFonts w:ascii="Times New Roman" w:eastAsia="Times New Roman" w:hAnsi="Times New Roman" w:cs="Times New Roman"/>
          <w:color w:val="242424"/>
          <w:sz w:val="24"/>
          <w:szCs w:val="24"/>
          <w:lang w:val="de-DE" w:eastAsia="en-GB"/>
        </w:rPr>
        <w:t>. Die Bieter</w:t>
      </w:r>
      <w:r w:rsidRPr="000F6B95">
        <w:rPr>
          <w:rFonts w:ascii="Times New Roman" w:eastAsia="Times New Roman" w:hAnsi="Times New Roman" w:cs="Times New Roman"/>
          <w:color w:val="242424"/>
          <w:sz w:val="24"/>
          <w:szCs w:val="24"/>
          <w:lang w:val="de-DE" w:eastAsia="en-GB"/>
        </w:rPr>
        <w:t xml:space="preserve"> müssen dem zuständigen öffentlichen Auftraggeber Informationen über drittstaatliche Subventionen übermitteln, der wiederum die Kommission unterrichten muss</w:t>
      </w:r>
      <w:r>
        <w:rPr>
          <w:rFonts w:ascii="Times New Roman" w:eastAsia="Times New Roman" w:hAnsi="Times New Roman" w:cs="Times New Roman"/>
          <w:color w:val="242424"/>
          <w:sz w:val="24"/>
          <w:szCs w:val="24"/>
          <w:lang w:val="de-DE" w:eastAsia="en-GB"/>
        </w:rPr>
        <w:t xml:space="preserve">. </w:t>
      </w:r>
      <w:r w:rsidRPr="000F6B95">
        <w:rPr>
          <w:rFonts w:ascii="Times New Roman" w:eastAsia="Times New Roman" w:hAnsi="Times New Roman" w:cs="Times New Roman"/>
          <w:color w:val="242424"/>
          <w:sz w:val="24"/>
          <w:szCs w:val="24"/>
          <w:lang w:val="de-DE" w:eastAsia="en-GB"/>
        </w:rPr>
        <w:t>Die Kommission kann auf eigene Initiative in Transaktionen oder Ausschreibungen unterhalb dieser Schwellenwerte eingreifen</w:t>
      </w:r>
      <w:r>
        <w:rPr>
          <w:rFonts w:ascii="Times New Roman" w:eastAsia="Times New Roman" w:hAnsi="Times New Roman" w:cs="Times New Roman"/>
          <w:color w:val="242424"/>
          <w:sz w:val="24"/>
          <w:szCs w:val="24"/>
          <w:lang w:val="de-DE" w:eastAsia="en-GB"/>
        </w:rPr>
        <w:t>.</w:t>
      </w:r>
      <w:r w:rsidR="00361739">
        <w:rPr>
          <w:rFonts w:ascii="Times New Roman" w:eastAsia="Times New Roman" w:hAnsi="Times New Roman" w:cs="Times New Roman"/>
          <w:color w:val="242424"/>
          <w:sz w:val="24"/>
          <w:szCs w:val="24"/>
          <w:lang w:val="de-DE" w:eastAsia="en-GB"/>
        </w:rPr>
        <w:t xml:space="preserve"> </w:t>
      </w:r>
      <w:r w:rsidR="00361739" w:rsidRPr="000F6B95">
        <w:rPr>
          <w:rFonts w:ascii="Times New Roman" w:eastAsia="Times New Roman" w:hAnsi="Times New Roman" w:cs="Times New Roman"/>
          <w:color w:val="242424"/>
          <w:sz w:val="24"/>
          <w:szCs w:val="24"/>
          <w:lang w:val="de-DE" w:eastAsia="en-GB"/>
        </w:rPr>
        <w:t xml:space="preserve">Drittstaatliche Subventionen, die in drei aufeinanderfolgenden Geschäftsjahren 4 Mio. EUR nicht übersteigen, sollten als unwahrscheinlich gelten, den Binnenmarkt </w:t>
      </w:r>
      <w:r w:rsidR="007328B0">
        <w:rPr>
          <w:rFonts w:ascii="Times New Roman" w:eastAsia="Times New Roman" w:hAnsi="Times New Roman" w:cs="Times New Roman"/>
          <w:color w:val="242424"/>
          <w:sz w:val="24"/>
          <w:szCs w:val="24"/>
          <w:lang w:val="de-DE" w:eastAsia="en-GB"/>
        </w:rPr>
        <w:t xml:space="preserve">zu </w:t>
      </w:r>
      <w:r w:rsidR="00361739" w:rsidRPr="000F6B95">
        <w:rPr>
          <w:rFonts w:ascii="Times New Roman" w:eastAsia="Times New Roman" w:hAnsi="Times New Roman" w:cs="Times New Roman"/>
          <w:color w:val="242424"/>
          <w:sz w:val="24"/>
          <w:szCs w:val="24"/>
          <w:lang w:val="de-DE" w:eastAsia="en-GB"/>
        </w:rPr>
        <w:t>verzerren, während drittstaatliche Subventionen unter 200</w:t>
      </w:r>
      <w:r w:rsidR="007328B0">
        <w:rPr>
          <w:rFonts w:ascii="Times New Roman" w:eastAsia="Times New Roman" w:hAnsi="Times New Roman" w:cs="Times New Roman"/>
          <w:color w:val="242424"/>
          <w:sz w:val="24"/>
          <w:szCs w:val="24"/>
          <w:lang w:val="de-DE" w:eastAsia="en-GB"/>
        </w:rPr>
        <w:t>.</w:t>
      </w:r>
      <w:r w:rsidR="00361739" w:rsidRPr="000F6B95">
        <w:rPr>
          <w:rFonts w:ascii="Times New Roman" w:eastAsia="Times New Roman" w:hAnsi="Times New Roman" w:cs="Times New Roman"/>
          <w:color w:val="242424"/>
          <w:sz w:val="24"/>
          <w:szCs w:val="24"/>
          <w:lang w:val="de-DE" w:eastAsia="en-GB"/>
        </w:rPr>
        <w:t>000 EUR in einem aufeinander folgenden Zeitraum von drei Geschäftsjahren nicht als verzerrend angesehen werden</w:t>
      </w:r>
      <w:r w:rsidR="007B60DA">
        <w:rPr>
          <w:rStyle w:val="FootnoteReference"/>
          <w:rFonts w:ascii="Times New Roman" w:eastAsia="Times New Roman" w:hAnsi="Times New Roman" w:cs="Times New Roman"/>
          <w:color w:val="242424"/>
          <w:sz w:val="24"/>
          <w:szCs w:val="24"/>
          <w:lang w:val="de-DE" w:eastAsia="en-GB"/>
        </w:rPr>
        <w:footnoteReference w:id="64"/>
      </w:r>
      <w:r w:rsidR="005C26B6">
        <w:rPr>
          <w:rFonts w:ascii="Times New Roman" w:eastAsia="Times New Roman" w:hAnsi="Times New Roman" w:cs="Times New Roman"/>
          <w:color w:val="242424"/>
          <w:sz w:val="24"/>
          <w:szCs w:val="24"/>
          <w:lang w:val="de-DE" w:eastAsia="en-GB"/>
        </w:rPr>
        <w:t xml:space="preserve">. </w:t>
      </w:r>
      <w:r w:rsidR="00D124F1">
        <w:rPr>
          <w:rFonts w:ascii="Times New Roman" w:eastAsia="Times New Roman" w:hAnsi="Times New Roman" w:cs="Times New Roman"/>
          <w:color w:val="242424"/>
          <w:sz w:val="24"/>
          <w:szCs w:val="24"/>
          <w:lang w:val="de-DE" w:eastAsia="en-GB"/>
        </w:rPr>
        <w:t>F</w:t>
      </w:r>
      <w:r w:rsidR="00D124F1" w:rsidRPr="00BB1D16">
        <w:rPr>
          <w:rFonts w:ascii="Times New Roman" w:eastAsia="Times New Roman" w:hAnsi="Times New Roman" w:cs="Times New Roman"/>
          <w:color w:val="242424"/>
          <w:sz w:val="24"/>
          <w:szCs w:val="24"/>
          <w:lang w:val="de-DE" w:eastAsia="en-GB"/>
        </w:rPr>
        <w:t xml:space="preserve">ür alle anderen Marktsituationen verfügt die Kommission über ein allgemeines Instrument, um </w:t>
      </w:r>
      <w:r w:rsidR="00D124F1">
        <w:rPr>
          <w:rFonts w:ascii="Times New Roman" w:eastAsia="Times New Roman" w:hAnsi="Times New Roman" w:cs="Times New Roman"/>
          <w:color w:val="242424"/>
          <w:sz w:val="24"/>
          <w:szCs w:val="24"/>
          <w:lang w:val="de-DE" w:eastAsia="en-GB"/>
        </w:rPr>
        <w:t xml:space="preserve">auf </w:t>
      </w:r>
      <w:r w:rsidR="00D124F1" w:rsidRPr="00BB1D16">
        <w:rPr>
          <w:rFonts w:ascii="Times New Roman" w:eastAsia="Times New Roman" w:hAnsi="Times New Roman" w:cs="Times New Roman"/>
          <w:color w:val="242424"/>
          <w:sz w:val="24"/>
          <w:szCs w:val="24"/>
          <w:lang w:val="de-DE" w:eastAsia="en-GB"/>
        </w:rPr>
        <w:t xml:space="preserve">eigene Initiative </w:t>
      </w:r>
      <w:r w:rsidR="007328B0" w:rsidRPr="00BB1D16">
        <w:rPr>
          <w:rFonts w:ascii="Times New Roman" w:eastAsia="Times New Roman" w:hAnsi="Times New Roman" w:cs="Times New Roman"/>
          <w:color w:val="242424"/>
          <w:sz w:val="24"/>
          <w:szCs w:val="24"/>
          <w:lang w:val="de-DE" w:eastAsia="en-GB"/>
        </w:rPr>
        <w:t xml:space="preserve">(von Amts wegen) </w:t>
      </w:r>
      <w:r w:rsidR="00D124F1" w:rsidRPr="00BB1D16">
        <w:rPr>
          <w:rFonts w:ascii="Times New Roman" w:eastAsia="Times New Roman" w:hAnsi="Times New Roman" w:cs="Times New Roman"/>
          <w:color w:val="242424"/>
          <w:sz w:val="24"/>
          <w:szCs w:val="24"/>
          <w:lang w:val="de-DE" w:eastAsia="en-GB"/>
        </w:rPr>
        <w:t xml:space="preserve">eine Überprüfung einleiten oder eine Ad-hoc-Anmeldung für kleinere Zusammenschlüsse und öffentliche Vergabeverfahren </w:t>
      </w:r>
      <w:r w:rsidR="00D124F1">
        <w:rPr>
          <w:rFonts w:ascii="Times New Roman" w:eastAsia="Times New Roman" w:hAnsi="Times New Roman" w:cs="Times New Roman"/>
          <w:color w:val="242424"/>
          <w:sz w:val="24"/>
          <w:szCs w:val="24"/>
          <w:lang w:val="de-DE" w:eastAsia="en-GB"/>
        </w:rPr>
        <w:t xml:space="preserve">zu </w:t>
      </w:r>
      <w:r w:rsidR="00D124F1" w:rsidRPr="00BB1D16">
        <w:rPr>
          <w:rFonts w:ascii="Times New Roman" w:eastAsia="Times New Roman" w:hAnsi="Times New Roman" w:cs="Times New Roman"/>
          <w:color w:val="242424"/>
          <w:sz w:val="24"/>
          <w:szCs w:val="24"/>
          <w:lang w:val="de-DE" w:eastAsia="en-GB"/>
        </w:rPr>
        <w:t xml:space="preserve">beantragen, wenn sie vermutet, dass wettbewerbsverzerrende Subventionen vorliegen. </w:t>
      </w:r>
    </w:p>
    <w:p w14:paraId="5CED5F37" w14:textId="77777777" w:rsidR="005C26B6" w:rsidRDefault="005C26B6"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09E11A35" w14:textId="77777777" w:rsidR="009A7AE9" w:rsidRDefault="00D124F1"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sidRPr="00BB1D16">
        <w:rPr>
          <w:rFonts w:ascii="Times New Roman" w:eastAsia="Times New Roman" w:hAnsi="Times New Roman" w:cs="Times New Roman"/>
          <w:color w:val="242424"/>
          <w:sz w:val="24"/>
          <w:szCs w:val="24"/>
          <w:lang w:val="de-DE" w:eastAsia="en-GB"/>
        </w:rPr>
        <w:t>Bis zur Überprüfung durch die Kommission können die Zusammenschlüsse nicht abgeschlossen werden, und der Bieter, der die Ermittlungen durchführt, kann nicht den Zuschlag erhalten.</w:t>
      </w:r>
      <w:r w:rsidR="00942A54">
        <w:rPr>
          <w:rFonts w:ascii="Times New Roman" w:eastAsia="Times New Roman" w:hAnsi="Times New Roman" w:cs="Times New Roman"/>
          <w:color w:val="242424"/>
          <w:sz w:val="24"/>
          <w:szCs w:val="24"/>
          <w:lang w:val="de-DE" w:eastAsia="en-GB"/>
        </w:rPr>
        <w:t xml:space="preserve"> </w:t>
      </w:r>
    </w:p>
    <w:p w14:paraId="5B4BA5F5" w14:textId="77777777" w:rsidR="009A7AE9" w:rsidRDefault="009A7AE9"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1D61FB96" w14:textId="1BB71FCC" w:rsidR="0059586E" w:rsidRPr="00BB1D16" w:rsidRDefault="00361739"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Pr>
          <w:rFonts w:ascii="Times New Roman" w:hAnsi="Times New Roman" w:cs="Times New Roman"/>
          <w:sz w:val="24"/>
          <w:szCs w:val="24"/>
          <w:lang w:val="de-DE"/>
        </w:rPr>
        <w:t>Der ne</w:t>
      </w:r>
      <w:r w:rsidRPr="009A1113">
        <w:rPr>
          <w:rFonts w:ascii="Times New Roman" w:hAnsi="Times New Roman" w:cs="Times New Roman"/>
          <w:sz w:val="24"/>
          <w:szCs w:val="24"/>
          <w:lang w:val="de-DE"/>
        </w:rPr>
        <w:t xml:space="preserve">ue Kontrollrahmen für Übernahmen von EU-Firmen </w:t>
      </w:r>
      <w:r w:rsidR="00D124F1">
        <w:rPr>
          <w:rFonts w:ascii="Times New Roman" w:hAnsi="Times New Roman" w:cs="Times New Roman"/>
          <w:sz w:val="24"/>
          <w:szCs w:val="24"/>
          <w:lang w:val="de-DE"/>
        </w:rPr>
        <w:t>wird</w:t>
      </w:r>
      <w:r w:rsidRPr="009A1113">
        <w:rPr>
          <w:rFonts w:ascii="Times New Roman" w:hAnsi="Times New Roman" w:cs="Times New Roman"/>
          <w:sz w:val="24"/>
          <w:szCs w:val="24"/>
          <w:lang w:val="de-DE"/>
        </w:rPr>
        <w:t xml:space="preserve"> </w:t>
      </w:r>
      <w:r w:rsidR="00D124F1">
        <w:rPr>
          <w:rFonts w:ascii="Times New Roman" w:hAnsi="Times New Roman" w:cs="Times New Roman"/>
          <w:sz w:val="24"/>
          <w:szCs w:val="24"/>
          <w:lang w:val="de-DE"/>
        </w:rPr>
        <w:t>auf besondere</w:t>
      </w:r>
      <w:r w:rsidRPr="009A1113">
        <w:rPr>
          <w:rFonts w:ascii="Times New Roman" w:hAnsi="Times New Roman" w:cs="Times New Roman"/>
          <w:sz w:val="24"/>
          <w:szCs w:val="24"/>
          <w:lang w:val="de-DE"/>
        </w:rPr>
        <w:t xml:space="preserve"> Industriezweige erweitert (</w:t>
      </w:r>
      <w:proofErr w:type="spellStart"/>
      <w:r w:rsidRPr="009A1113">
        <w:rPr>
          <w:rFonts w:ascii="Times New Roman" w:hAnsi="Times New Roman" w:cs="Times New Roman"/>
          <w:sz w:val="24"/>
          <w:szCs w:val="24"/>
          <w:lang w:val="de-DE"/>
        </w:rPr>
        <w:t>zB</w:t>
      </w:r>
      <w:proofErr w:type="spellEnd"/>
      <w:r w:rsidRPr="009A1113">
        <w:rPr>
          <w:rFonts w:ascii="Times New Roman" w:hAnsi="Times New Roman" w:cs="Times New Roman"/>
          <w:sz w:val="24"/>
          <w:szCs w:val="24"/>
          <w:lang w:val="de-DE"/>
        </w:rPr>
        <w:t xml:space="preserve"> künstliche Intelligenz, Robotik oder Halbleiter)</w:t>
      </w:r>
      <w:r w:rsidR="00D124F1">
        <w:rPr>
          <w:rFonts w:ascii="Times New Roman" w:hAnsi="Times New Roman" w:cs="Times New Roman"/>
          <w:sz w:val="24"/>
          <w:szCs w:val="24"/>
          <w:lang w:val="de-DE"/>
        </w:rPr>
        <w:t>. Er</w:t>
      </w:r>
      <w:r w:rsidRPr="009A1113">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ermöglicht es, </w:t>
      </w:r>
      <w:r w:rsidRPr="009A1113">
        <w:rPr>
          <w:rFonts w:ascii="Times New Roman" w:hAnsi="Times New Roman" w:cs="Times New Roman"/>
          <w:sz w:val="24"/>
          <w:szCs w:val="24"/>
          <w:lang w:val="de-DE"/>
        </w:rPr>
        <w:t>auch ökonomische Kriterien miteinfließen</w:t>
      </w:r>
      <w:r>
        <w:rPr>
          <w:rFonts w:ascii="Times New Roman" w:hAnsi="Times New Roman" w:cs="Times New Roman"/>
          <w:sz w:val="24"/>
          <w:szCs w:val="24"/>
          <w:lang w:val="de-DE"/>
        </w:rPr>
        <w:t xml:space="preserve"> zu lassen</w:t>
      </w:r>
      <w:r w:rsidRPr="009A1113">
        <w:rPr>
          <w:rFonts w:ascii="Times New Roman" w:hAnsi="Times New Roman" w:cs="Times New Roman"/>
          <w:sz w:val="24"/>
          <w:szCs w:val="24"/>
          <w:lang w:val="de-DE"/>
        </w:rPr>
        <w:t xml:space="preserve">, </w:t>
      </w:r>
      <w:proofErr w:type="spellStart"/>
      <w:proofErr w:type="gramStart"/>
      <w:r w:rsidRPr="009A1113">
        <w:rPr>
          <w:rFonts w:ascii="Times New Roman" w:hAnsi="Times New Roman" w:cs="Times New Roman"/>
          <w:sz w:val="24"/>
          <w:szCs w:val="24"/>
          <w:lang w:val="de-DE"/>
        </w:rPr>
        <w:t>zB</w:t>
      </w:r>
      <w:proofErr w:type="spellEnd"/>
      <w:proofErr w:type="gramEnd"/>
      <w:r w:rsidRPr="009A1113">
        <w:rPr>
          <w:rFonts w:ascii="Times New Roman" w:hAnsi="Times New Roman" w:cs="Times New Roman"/>
          <w:sz w:val="24"/>
          <w:szCs w:val="24"/>
          <w:lang w:val="de-DE"/>
        </w:rPr>
        <w:t xml:space="preserve"> ob die Investition staatlich kontrolliert und/oder finanziert und damit nicht marktwirtschaftlich ist</w:t>
      </w:r>
      <w:r w:rsidR="00D124F1">
        <w:rPr>
          <w:rFonts w:ascii="Times New Roman" w:hAnsi="Times New Roman" w:cs="Times New Roman"/>
          <w:sz w:val="24"/>
          <w:szCs w:val="24"/>
          <w:lang w:val="de-DE"/>
        </w:rPr>
        <w:t xml:space="preserve">. </w:t>
      </w:r>
      <w:r w:rsidR="0059586E">
        <w:rPr>
          <w:rFonts w:ascii="Times New Roman" w:eastAsia="Times New Roman" w:hAnsi="Times New Roman" w:cs="Times New Roman"/>
          <w:color w:val="242424"/>
          <w:sz w:val="24"/>
          <w:szCs w:val="24"/>
          <w:lang w:val="de-DE" w:eastAsia="en-GB"/>
        </w:rPr>
        <w:t>Die Verordnung enthält z</w:t>
      </w:r>
      <w:r w:rsidR="0059586E" w:rsidRPr="000F6B95">
        <w:rPr>
          <w:rFonts w:ascii="Times New Roman" w:eastAsia="Times New Roman" w:hAnsi="Times New Roman" w:cs="Times New Roman"/>
          <w:color w:val="242424"/>
          <w:sz w:val="24"/>
          <w:szCs w:val="24"/>
          <w:lang w:val="de-DE" w:eastAsia="en-GB"/>
        </w:rPr>
        <w:t xml:space="preserve">usätzliche Befugnisse der Kommission, vorläufige Maßnahmen zu ergreifen und Verpflichtungszusagen und Geldbußen zu verhängen. </w:t>
      </w:r>
    </w:p>
    <w:p w14:paraId="52FD6210" w14:textId="77777777" w:rsidR="0059586E" w:rsidRPr="00BB1D16"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7E94C90D" w14:textId="0541C13F" w:rsidR="006C7FCC"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sidRPr="00BB1D16">
        <w:rPr>
          <w:rFonts w:ascii="Times New Roman" w:eastAsia="Times New Roman" w:hAnsi="Times New Roman" w:cs="Times New Roman"/>
          <w:color w:val="242424"/>
          <w:sz w:val="24"/>
          <w:szCs w:val="24"/>
          <w:lang w:val="de-DE" w:eastAsia="en-GB"/>
        </w:rPr>
        <w:t xml:space="preserve">Der Begriff der drittstaatlichen Subvention und damit der Anwendungsbereich der vorgeschlagenen Verordnung sind sehr weit gefasst. Sie umfasst nicht nur direkte finanzielle Zuwendungen, sondern alle Arten von Transfers von Mitteln oder Verbindlichkeiten (einschließlich Kapitalzuführungen, Darlehen, Kreditbürgschaften, steuerliche Anreize, Schuldenerlass, </w:t>
      </w:r>
      <w:r w:rsidR="00A41DD3" w:rsidRPr="00BB1D16">
        <w:rPr>
          <w:rFonts w:ascii="Times New Roman" w:eastAsia="Times New Roman" w:hAnsi="Times New Roman" w:cs="Times New Roman"/>
          <w:color w:val="242424"/>
          <w:sz w:val="24"/>
          <w:szCs w:val="24"/>
          <w:lang w:val="de-DE" w:eastAsia="en-GB"/>
        </w:rPr>
        <w:t>Steuerbefreiungen</w:t>
      </w:r>
      <w:r w:rsidR="00A41DD3">
        <w:rPr>
          <w:rFonts w:ascii="Times New Roman" w:eastAsia="Times New Roman" w:hAnsi="Times New Roman" w:cs="Times New Roman"/>
          <w:color w:val="242424"/>
          <w:sz w:val="24"/>
          <w:szCs w:val="24"/>
          <w:lang w:val="de-DE" w:eastAsia="en-GB"/>
        </w:rPr>
        <w:t xml:space="preserve">, </w:t>
      </w:r>
      <w:r w:rsidRPr="00BB1D16">
        <w:rPr>
          <w:rFonts w:ascii="Times New Roman" w:eastAsia="Times New Roman" w:hAnsi="Times New Roman" w:cs="Times New Roman"/>
          <w:color w:val="242424"/>
          <w:sz w:val="24"/>
          <w:szCs w:val="24"/>
          <w:lang w:val="de-DE" w:eastAsia="en-GB"/>
        </w:rPr>
        <w:t xml:space="preserve">Schuldenswaps </w:t>
      </w:r>
      <w:proofErr w:type="spellStart"/>
      <w:r w:rsidRPr="00BB1D16">
        <w:rPr>
          <w:rFonts w:ascii="Times New Roman" w:eastAsia="Times New Roman" w:hAnsi="Times New Roman" w:cs="Times New Roman"/>
          <w:color w:val="242424"/>
          <w:sz w:val="24"/>
          <w:szCs w:val="24"/>
          <w:lang w:val="de-DE" w:eastAsia="en-GB"/>
        </w:rPr>
        <w:t>usw</w:t>
      </w:r>
      <w:proofErr w:type="spellEnd"/>
      <w:r w:rsidRPr="00BB1D16">
        <w:rPr>
          <w:rFonts w:ascii="Times New Roman" w:eastAsia="Times New Roman" w:hAnsi="Times New Roman" w:cs="Times New Roman"/>
          <w:color w:val="242424"/>
          <w:sz w:val="24"/>
          <w:szCs w:val="24"/>
          <w:lang w:val="de-DE" w:eastAsia="en-GB"/>
        </w:rPr>
        <w:t>)</w:t>
      </w:r>
      <w:r w:rsidR="00DD3457">
        <w:rPr>
          <w:rStyle w:val="FootnoteReference"/>
          <w:rFonts w:ascii="Times New Roman" w:eastAsia="Times New Roman" w:hAnsi="Times New Roman" w:cs="Times New Roman"/>
          <w:color w:val="242424"/>
          <w:sz w:val="24"/>
          <w:szCs w:val="24"/>
          <w:lang w:val="de-DE" w:eastAsia="en-GB"/>
        </w:rPr>
        <w:footnoteReference w:id="65"/>
      </w:r>
      <w:r w:rsidR="00A41DD3">
        <w:rPr>
          <w:rFonts w:ascii="Times New Roman" w:eastAsia="Times New Roman" w:hAnsi="Times New Roman" w:cs="Times New Roman"/>
          <w:color w:val="242424"/>
          <w:sz w:val="24"/>
          <w:szCs w:val="24"/>
          <w:lang w:val="de-DE" w:eastAsia="en-GB"/>
        </w:rPr>
        <w:t>.</w:t>
      </w:r>
    </w:p>
    <w:p w14:paraId="3D13CBEE" w14:textId="77777777" w:rsidR="006C7FCC" w:rsidRDefault="006C7FCC"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7C990442" w14:textId="6B980A15" w:rsidR="0059586E"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r w:rsidRPr="00BB1D16">
        <w:rPr>
          <w:rFonts w:ascii="Times New Roman" w:eastAsia="Times New Roman" w:hAnsi="Times New Roman" w:cs="Times New Roman"/>
          <w:color w:val="242424"/>
          <w:sz w:val="24"/>
          <w:szCs w:val="24"/>
          <w:lang w:val="de-DE" w:eastAsia="en-GB"/>
        </w:rPr>
        <w:t xml:space="preserve">Stellt eine drittstaatliche Zuwendung eine drittstaatliche Subvention dar, so prüft die Kommission weiter, ob sie „den Binnenmarkt verzerrt“. Falls die Kommission feststellt, dass eine drittstaatliche Subvention den Binnenmarkt verzerrt (oder das Potenzial hat, ihn zu verfälschen), prüft sie weiter, ob die </w:t>
      </w:r>
      <w:r w:rsidR="00F15B31">
        <w:rPr>
          <w:rFonts w:ascii="Times New Roman" w:eastAsia="Times New Roman" w:hAnsi="Times New Roman" w:cs="Times New Roman"/>
          <w:color w:val="242424"/>
          <w:sz w:val="24"/>
          <w:szCs w:val="24"/>
          <w:lang w:val="de-DE" w:eastAsia="en-GB"/>
        </w:rPr>
        <w:t>Folgen</w:t>
      </w:r>
      <w:r w:rsidRPr="00BB1D16">
        <w:rPr>
          <w:rFonts w:ascii="Times New Roman" w:eastAsia="Times New Roman" w:hAnsi="Times New Roman" w:cs="Times New Roman"/>
          <w:color w:val="242424"/>
          <w:sz w:val="24"/>
          <w:szCs w:val="24"/>
          <w:lang w:val="de-DE" w:eastAsia="en-GB"/>
        </w:rPr>
        <w:t xml:space="preserve"> durch positive Auswirkungen „auf die Entwicklung der betreffenden Wirtschaftstätigkeit“ ausgeglichen oder möglicherweise sogar aufgewogen werden können. Die Ergebnisse dieses „Ausgleichstests“ werden von der Kommission bei der Entscheidung über die Auferlegung von Abhilfemaßnahmen berücksichtigt</w:t>
      </w:r>
      <w:r w:rsidR="00F15B31">
        <w:rPr>
          <w:rFonts w:ascii="Times New Roman" w:eastAsia="Times New Roman" w:hAnsi="Times New Roman" w:cs="Times New Roman"/>
          <w:color w:val="242424"/>
          <w:sz w:val="24"/>
          <w:szCs w:val="24"/>
          <w:lang w:val="de-DE" w:eastAsia="en-GB"/>
        </w:rPr>
        <w:t>.</w:t>
      </w:r>
      <w:r w:rsidR="009A7AE9">
        <w:rPr>
          <w:rStyle w:val="FootnoteReference"/>
          <w:rFonts w:ascii="Times New Roman" w:eastAsia="Times New Roman" w:hAnsi="Times New Roman" w:cs="Times New Roman"/>
          <w:color w:val="242424"/>
          <w:sz w:val="24"/>
          <w:szCs w:val="24"/>
          <w:lang w:val="de-DE" w:eastAsia="en-GB"/>
        </w:rPr>
        <w:footnoteReference w:id="66"/>
      </w:r>
      <w:r w:rsidR="00F17A5C">
        <w:rPr>
          <w:rFonts w:ascii="Times New Roman" w:eastAsia="Times New Roman" w:hAnsi="Times New Roman" w:cs="Times New Roman"/>
          <w:color w:val="242424"/>
          <w:sz w:val="24"/>
          <w:szCs w:val="24"/>
          <w:lang w:val="de-DE" w:eastAsia="en-GB"/>
        </w:rPr>
        <w:t xml:space="preserve"> </w:t>
      </w:r>
      <w:r w:rsidR="00F17A5C" w:rsidRPr="00F17A5C">
        <w:rPr>
          <w:rFonts w:ascii="Times New Roman" w:eastAsia="Times New Roman" w:hAnsi="Times New Roman" w:cs="Times New Roman"/>
          <w:color w:val="242424"/>
          <w:sz w:val="24"/>
          <w:szCs w:val="24"/>
          <w:lang w:val="de-DE" w:eastAsia="en-GB"/>
        </w:rPr>
        <w:t xml:space="preserve">Bei Missachtung der FSR </w:t>
      </w:r>
      <w:r w:rsidR="00A41DD3">
        <w:rPr>
          <w:rFonts w:ascii="Times New Roman" w:eastAsia="Times New Roman" w:hAnsi="Times New Roman" w:cs="Times New Roman"/>
          <w:color w:val="242424"/>
          <w:sz w:val="24"/>
          <w:szCs w:val="24"/>
          <w:lang w:val="de-DE" w:eastAsia="en-GB"/>
        </w:rPr>
        <w:t>(</w:t>
      </w:r>
      <w:proofErr w:type="spellStart"/>
      <w:r w:rsidR="00A41DD3">
        <w:rPr>
          <w:rFonts w:ascii="Times New Roman" w:eastAsia="Times New Roman" w:hAnsi="Times New Roman" w:cs="Times New Roman"/>
          <w:color w:val="242424"/>
          <w:sz w:val="24"/>
          <w:szCs w:val="24"/>
          <w:lang w:val="de-DE" w:eastAsia="en-GB"/>
        </w:rPr>
        <w:t>foreign</w:t>
      </w:r>
      <w:proofErr w:type="spellEnd"/>
      <w:r w:rsidR="00A41DD3">
        <w:rPr>
          <w:rFonts w:ascii="Times New Roman" w:eastAsia="Times New Roman" w:hAnsi="Times New Roman" w:cs="Times New Roman"/>
          <w:color w:val="242424"/>
          <w:sz w:val="24"/>
          <w:szCs w:val="24"/>
          <w:lang w:val="de-DE" w:eastAsia="en-GB"/>
        </w:rPr>
        <w:t xml:space="preserve"> </w:t>
      </w:r>
      <w:proofErr w:type="spellStart"/>
      <w:r w:rsidR="00A41DD3">
        <w:rPr>
          <w:rFonts w:ascii="Times New Roman" w:eastAsia="Times New Roman" w:hAnsi="Times New Roman" w:cs="Times New Roman"/>
          <w:color w:val="242424"/>
          <w:sz w:val="24"/>
          <w:szCs w:val="24"/>
          <w:lang w:val="de-DE" w:eastAsia="en-GB"/>
        </w:rPr>
        <w:t>subsidy</w:t>
      </w:r>
      <w:proofErr w:type="spellEnd"/>
      <w:r w:rsidR="00A41DD3">
        <w:rPr>
          <w:rFonts w:ascii="Times New Roman" w:eastAsia="Times New Roman" w:hAnsi="Times New Roman" w:cs="Times New Roman"/>
          <w:color w:val="242424"/>
          <w:sz w:val="24"/>
          <w:szCs w:val="24"/>
          <w:lang w:val="de-DE" w:eastAsia="en-GB"/>
        </w:rPr>
        <w:t xml:space="preserve"> </w:t>
      </w:r>
      <w:proofErr w:type="spellStart"/>
      <w:r w:rsidR="00A41DD3">
        <w:rPr>
          <w:rFonts w:ascii="Times New Roman" w:eastAsia="Times New Roman" w:hAnsi="Times New Roman" w:cs="Times New Roman"/>
          <w:color w:val="242424"/>
          <w:sz w:val="24"/>
          <w:szCs w:val="24"/>
          <w:lang w:val="de-DE" w:eastAsia="en-GB"/>
        </w:rPr>
        <w:t>regulation</w:t>
      </w:r>
      <w:proofErr w:type="spellEnd"/>
      <w:r w:rsidR="00A41DD3">
        <w:rPr>
          <w:rFonts w:ascii="Times New Roman" w:eastAsia="Times New Roman" w:hAnsi="Times New Roman" w:cs="Times New Roman"/>
          <w:color w:val="242424"/>
          <w:sz w:val="24"/>
          <w:szCs w:val="24"/>
          <w:lang w:val="de-DE" w:eastAsia="en-GB"/>
        </w:rPr>
        <w:t xml:space="preserve">) </w:t>
      </w:r>
      <w:r w:rsidR="00F17A5C" w:rsidRPr="00F17A5C">
        <w:rPr>
          <w:rFonts w:ascii="Times New Roman" w:eastAsia="Times New Roman" w:hAnsi="Times New Roman" w:cs="Times New Roman"/>
          <w:color w:val="242424"/>
          <w:sz w:val="24"/>
          <w:szCs w:val="24"/>
          <w:lang w:val="de-DE" w:eastAsia="en-GB"/>
        </w:rPr>
        <w:t xml:space="preserve">kann die Kommission sowohl Geldbußen als auch Zwangsgelder verhängen. Unrichtige bzw. irreführende Angaben zu finanziellen Zuwendungen können mit bis zu 1% des erzielten Gesamtumsatzes des Vorjahres geahndet werden (sowohl bei Zusammenschlüssen als auch öffentlichen </w:t>
      </w:r>
      <w:r w:rsidR="00F17A5C" w:rsidRPr="00F17A5C">
        <w:rPr>
          <w:rFonts w:ascii="Times New Roman" w:eastAsia="Times New Roman" w:hAnsi="Times New Roman" w:cs="Times New Roman"/>
          <w:color w:val="242424"/>
          <w:sz w:val="24"/>
          <w:szCs w:val="24"/>
          <w:lang w:val="de-DE" w:eastAsia="en-GB"/>
        </w:rPr>
        <w:lastRenderedPageBreak/>
        <w:t>Vergabeverfahren</w:t>
      </w:r>
      <w:r w:rsidR="006321FD">
        <w:rPr>
          <w:rStyle w:val="FootnoteReference"/>
          <w:rFonts w:ascii="Times New Roman" w:eastAsia="Times New Roman" w:hAnsi="Times New Roman" w:cs="Times New Roman"/>
          <w:color w:val="242424"/>
          <w:sz w:val="24"/>
          <w:szCs w:val="24"/>
          <w:lang w:val="de-DE" w:eastAsia="en-GB"/>
        </w:rPr>
        <w:footnoteReference w:id="67"/>
      </w:r>
      <w:r w:rsidR="00F17A5C" w:rsidRPr="00F17A5C">
        <w:rPr>
          <w:rFonts w:ascii="Times New Roman" w:eastAsia="Times New Roman" w:hAnsi="Times New Roman" w:cs="Times New Roman"/>
          <w:color w:val="242424"/>
          <w:sz w:val="24"/>
          <w:szCs w:val="24"/>
          <w:lang w:val="de-DE" w:eastAsia="en-GB"/>
        </w:rPr>
        <w:t>. Wird eine verpflichtende Anmeldung unterlassen, kann die Kommission Geldbußen in Höhe von bis zu 10% des Gesamtumsatzes verhängen (ebenfalls sowohl bei Zusammenschlüssen als auch öffentlichen Vergabeverfahren</w:t>
      </w:r>
      <w:r w:rsidR="006321FD">
        <w:rPr>
          <w:rFonts w:ascii="Times New Roman" w:eastAsia="Times New Roman" w:hAnsi="Times New Roman" w:cs="Times New Roman"/>
          <w:color w:val="242424"/>
          <w:sz w:val="24"/>
          <w:szCs w:val="24"/>
          <w:lang w:val="de-DE" w:eastAsia="en-GB"/>
        </w:rPr>
        <w:t>.</w:t>
      </w:r>
      <w:r w:rsidR="006321FD">
        <w:rPr>
          <w:rStyle w:val="FootnoteReference"/>
          <w:rFonts w:ascii="Times New Roman" w:eastAsia="Times New Roman" w:hAnsi="Times New Roman" w:cs="Times New Roman"/>
          <w:color w:val="242424"/>
          <w:sz w:val="24"/>
          <w:szCs w:val="24"/>
          <w:lang w:val="de-DE" w:eastAsia="en-GB"/>
        </w:rPr>
        <w:footnoteReference w:id="68"/>
      </w:r>
      <w:r w:rsidR="006321FD">
        <w:rPr>
          <w:rFonts w:ascii="Times New Roman" w:eastAsia="Times New Roman" w:hAnsi="Times New Roman" w:cs="Times New Roman"/>
          <w:color w:val="242424"/>
          <w:sz w:val="24"/>
          <w:szCs w:val="24"/>
          <w:lang w:val="de-DE" w:eastAsia="en-GB"/>
        </w:rPr>
        <w:t xml:space="preserve"> </w:t>
      </w:r>
      <w:proofErr w:type="gramStart"/>
      <w:r w:rsidR="00F17A5C" w:rsidRPr="00F17A5C">
        <w:rPr>
          <w:rFonts w:ascii="Times New Roman" w:eastAsia="Times New Roman" w:hAnsi="Times New Roman" w:cs="Times New Roman"/>
          <w:color w:val="242424"/>
          <w:sz w:val="24"/>
          <w:szCs w:val="24"/>
          <w:lang w:val="de-DE" w:eastAsia="en-GB"/>
        </w:rPr>
        <w:t>Denkbar</w:t>
      </w:r>
      <w:proofErr w:type="gramEnd"/>
      <w:r w:rsidR="00F17A5C" w:rsidRPr="00F17A5C">
        <w:rPr>
          <w:rFonts w:ascii="Times New Roman" w:eastAsia="Times New Roman" w:hAnsi="Times New Roman" w:cs="Times New Roman"/>
          <w:color w:val="242424"/>
          <w:sz w:val="24"/>
          <w:szCs w:val="24"/>
          <w:lang w:val="de-DE" w:eastAsia="en-GB"/>
        </w:rPr>
        <w:t xml:space="preserve"> sind auch Ausschlüsse von Anbietern bei zukünftigen Ausschreibungen in der EU.</w:t>
      </w:r>
    </w:p>
    <w:p w14:paraId="15455A6E" w14:textId="77777777" w:rsidR="0059586E" w:rsidRDefault="0059586E" w:rsidP="00122481">
      <w:pPr>
        <w:shd w:val="clear" w:color="auto" w:fill="FFFFFF"/>
        <w:spacing w:after="0" w:line="240" w:lineRule="auto"/>
        <w:jc w:val="both"/>
        <w:textAlignment w:val="baseline"/>
        <w:rPr>
          <w:rFonts w:ascii="Times New Roman" w:eastAsia="Times New Roman" w:hAnsi="Times New Roman" w:cs="Times New Roman"/>
          <w:color w:val="242424"/>
          <w:sz w:val="24"/>
          <w:szCs w:val="24"/>
          <w:lang w:val="de-DE" w:eastAsia="en-GB"/>
        </w:rPr>
      </w:pPr>
    </w:p>
    <w:p w14:paraId="057565DF" w14:textId="15ABA459" w:rsidR="00FB3688" w:rsidRPr="00F96623" w:rsidRDefault="0059586E" w:rsidP="00F96623">
      <w:pPr>
        <w:pStyle w:val="Heading1"/>
        <w:rPr>
          <w:rFonts w:ascii="Times New Roman" w:eastAsia="Times New Roman" w:hAnsi="Times New Roman" w:cs="Times New Roman"/>
          <w:b/>
          <w:bCs/>
          <w:color w:val="000000" w:themeColor="text1"/>
          <w:sz w:val="24"/>
          <w:szCs w:val="24"/>
          <w:lang w:val="de-DE" w:eastAsia="en-GB"/>
        </w:rPr>
      </w:pPr>
      <w:bookmarkStart w:id="12" w:name="_Toc161050727"/>
      <w:bookmarkStart w:id="13" w:name="_Hlk158303962"/>
      <w:bookmarkStart w:id="14" w:name="_Hlk158199278"/>
      <w:r w:rsidRPr="00F96623">
        <w:rPr>
          <w:rFonts w:ascii="Times New Roman" w:hAnsi="Times New Roman" w:cs="Times New Roman"/>
          <w:b/>
          <w:bCs/>
          <w:color w:val="000000" w:themeColor="text1"/>
          <w:sz w:val="24"/>
          <w:szCs w:val="24"/>
          <w:lang w:val="de-DE"/>
        </w:rPr>
        <w:t>VII</w:t>
      </w:r>
      <w:r w:rsidRPr="00F96623">
        <w:rPr>
          <w:rFonts w:ascii="Times New Roman" w:hAnsi="Times New Roman" w:cs="Times New Roman"/>
          <w:b/>
          <w:bCs/>
          <w:color w:val="000000" w:themeColor="text1"/>
          <w:sz w:val="24"/>
          <w:szCs w:val="24"/>
          <w:lang w:val="de-DE"/>
        </w:rPr>
        <w:tab/>
      </w:r>
      <w:r w:rsidR="006E3D50">
        <w:rPr>
          <w:rFonts w:ascii="Times New Roman" w:eastAsia="Times New Roman" w:hAnsi="Times New Roman" w:cs="Times New Roman"/>
          <w:b/>
          <w:bCs/>
          <w:color w:val="000000" w:themeColor="text1"/>
          <w:sz w:val="24"/>
          <w:szCs w:val="24"/>
          <w:lang w:val="de-DE" w:eastAsia="en-GB"/>
        </w:rPr>
        <w:t xml:space="preserve">Resümee </w:t>
      </w:r>
      <w:r w:rsidRPr="00F96623">
        <w:rPr>
          <w:rFonts w:ascii="Times New Roman" w:eastAsia="Times New Roman" w:hAnsi="Times New Roman" w:cs="Times New Roman"/>
          <w:b/>
          <w:bCs/>
          <w:color w:val="000000" w:themeColor="text1"/>
          <w:sz w:val="24"/>
          <w:szCs w:val="24"/>
          <w:lang w:val="de-DE" w:eastAsia="en-GB"/>
        </w:rPr>
        <w:t>und Schlussfolgerungen</w:t>
      </w:r>
      <w:bookmarkEnd w:id="12"/>
    </w:p>
    <w:p w14:paraId="1F7FFD7E" w14:textId="77777777" w:rsidR="006C7FCC" w:rsidRDefault="006C7FCC" w:rsidP="006347BF">
      <w:pPr>
        <w:jc w:val="both"/>
        <w:rPr>
          <w:rFonts w:ascii="Times New Roman" w:hAnsi="Times New Roman" w:cs="Times New Roman"/>
          <w:sz w:val="24"/>
          <w:szCs w:val="24"/>
          <w:lang w:val="de-DE"/>
        </w:rPr>
      </w:pPr>
    </w:p>
    <w:p w14:paraId="2916B28A" w14:textId="61D8DBC4" w:rsidR="006C7FCC" w:rsidRPr="008E77D3" w:rsidRDefault="006C7FCC" w:rsidP="00DD3457">
      <w:pPr>
        <w:pStyle w:val="ListParagraph"/>
        <w:numPr>
          <w:ilvl w:val="0"/>
          <w:numId w:val="8"/>
        </w:numPr>
        <w:spacing w:line="240" w:lineRule="auto"/>
        <w:jc w:val="both"/>
        <w:rPr>
          <w:rFonts w:ascii="Times New Roman" w:eastAsia="Times New Roman" w:hAnsi="Times New Roman" w:cs="Times New Roman"/>
          <w:sz w:val="24"/>
          <w:szCs w:val="24"/>
          <w:lang w:val="de-DE"/>
        </w:rPr>
      </w:pPr>
      <w:r w:rsidRPr="00E44F11">
        <w:rPr>
          <w:rFonts w:ascii="Times New Roman" w:eastAsia="Times New Roman" w:hAnsi="Times New Roman" w:cs="Times New Roman"/>
          <w:sz w:val="24"/>
          <w:szCs w:val="24"/>
          <w:lang w:val="de-DE"/>
        </w:rPr>
        <w:t>Fragen zur Durchsetzbarkeit von Nachhaltigkeitsbestimmungen</w:t>
      </w:r>
      <w:r>
        <w:rPr>
          <w:rFonts w:ascii="Times New Roman" w:eastAsia="Times New Roman" w:hAnsi="Times New Roman" w:cs="Times New Roman"/>
          <w:sz w:val="24"/>
          <w:szCs w:val="24"/>
          <w:lang w:val="de-DE"/>
        </w:rPr>
        <w:t xml:space="preserve"> in Handelsabkommen</w:t>
      </w:r>
      <w:r w:rsidR="001456BF" w:rsidRPr="001456BF">
        <w:rPr>
          <w:rFonts w:ascii="Times New Roman" w:eastAsia="Times New Roman" w:hAnsi="Times New Roman" w:cs="Times New Roman"/>
          <w:sz w:val="24"/>
          <w:szCs w:val="24"/>
          <w:lang w:val="de-DE"/>
        </w:rPr>
        <w:t xml:space="preserve"> </w:t>
      </w:r>
      <w:r w:rsidR="001456BF" w:rsidRPr="00E44F11">
        <w:rPr>
          <w:rFonts w:ascii="Times New Roman" w:eastAsia="Times New Roman" w:hAnsi="Times New Roman" w:cs="Times New Roman"/>
          <w:sz w:val="24"/>
          <w:szCs w:val="24"/>
          <w:lang w:val="de-DE"/>
        </w:rPr>
        <w:t xml:space="preserve">bleiben </w:t>
      </w:r>
      <w:r w:rsidR="001456BF">
        <w:rPr>
          <w:rFonts w:ascii="Times New Roman" w:eastAsia="Times New Roman" w:hAnsi="Times New Roman" w:cs="Times New Roman"/>
          <w:sz w:val="24"/>
          <w:szCs w:val="24"/>
          <w:lang w:val="de-DE"/>
        </w:rPr>
        <w:t>u</w:t>
      </w:r>
      <w:r w:rsidR="001456BF" w:rsidRPr="00E44F11">
        <w:rPr>
          <w:rFonts w:ascii="Times New Roman" w:eastAsia="Times New Roman" w:hAnsi="Times New Roman" w:cs="Times New Roman"/>
          <w:sz w:val="24"/>
          <w:szCs w:val="24"/>
          <w:lang w:val="de-DE"/>
        </w:rPr>
        <w:t>mstritten</w:t>
      </w:r>
      <w:r w:rsidR="00014056">
        <w:rPr>
          <w:rStyle w:val="FootnoteReference"/>
          <w:rFonts w:ascii="Times New Roman" w:eastAsia="Times New Roman" w:hAnsi="Times New Roman" w:cs="Times New Roman"/>
          <w:sz w:val="24"/>
          <w:szCs w:val="24"/>
          <w:lang w:val="de-DE"/>
        </w:rPr>
        <w:footnoteReference w:id="69"/>
      </w:r>
      <w:r w:rsidRPr="00E44F11">
        <w:rPr>
          <w:rFonts w:ascii="Times New Roman" w:eastAsia="Times New Roman" w:hAnsi="Times New Roman" w:cs="Times New Roman"/>
          <w:sz w:val="24"/>
          <w:szCs w:val="24"/>
          <w:lang w:val="de-DE"/>
        </w:rPr>
        <w:t>. Im Gegensatz zum „essenziellen“ Charakter von Menschenrechtsklauseln werden Umwelt- und Arbeitsklauseln in</w:t>
      </w:r>
      <w:r w:rsidR="00207634">
        <w:rPr>
          <w:rFonts w:ascii="Times New Roman" w:eastAsia="Times New Roman" w:hAnsi="Times New Roman" w:cs="Times New Roman"/>
          <w:sz w:val="24"/>
          <w:szCs w:val="24"/>
          <w:lang w:val="de-DE"/>
        </w:rPr>
        <w:t xml:space="preserve"> den meisten</w:t>
      </w:r>
      <w:r w:rsidRPr="00E44F11">
        <w:rPr>
          <w:rFonts w:ascii="Times New Roman" w:eastAsia="Times New Roman" w:hAnsi="Times New Roman" w:cs="Times New Roman"/>
          <w:sz w:val="24"/>
          <w:szCs w:val="24"/>
          <w:lang w:val="de-DE"/>
        </w:rPr>
        <w:t xml:space="preserve"> EU-Handelsabkommen nicht als Verpflichtungen verstanden, deren Verletzung einem Bruch des Abkommens gleichkommt. Die Abkommen mit Korea  und Neuseeland beinhalten Nachhaltigkeitskapitel, die sanktionierbar  sind</w:t>
      </w:r>
      <w:r w:rsidR="00014056">
        <w:rPr>
          <w:rStyle w:val="FootnoteReference"/>
          <w:rFonts w:ascii="Times New Roman" w:eastAsia="Times New Roman" w:hAnsi="Times New Roman" w:cs="Times New Roman"/>
          <w:sz w:val="24"/>
          <w:szCs w:val="24"/>
          <w:lang w:val="de-DE"/>
        </w:rPr>
        <w:footnoteReference w:id="70"/>
      </w:r>
      <w:r w:rsidRPr="00E44F11">
        <w:rPr>
          <w:rFonts w:ascii="Times New Roman" w:eastAsia="Times New Roman" w:hAnsi="Times New Roman" w:cs="Times New Roman"/>
          <w:sz w:val="24"/>
          <w:szCs w:val="24"/>
          <w:lang w:val="de-DE"/>
        </w:rPr>
        <w:t xml:space="preserve">, entweder durch eine Streitbeilegung durch Einsetzen eines Panels oder ein formales Streitbeilegungsverfahren. In diesem nehmen die </w:t>
      </w:r>
      <w:r w:rsidR="00D557CF">
        <w:rPr>
          <w:rFonts w:ascii="Times New Roman" w:eastAsia="Times New Roman" w:hAnsi="Times New Roman" w:cs="Times New Roman"/>
          <w:sz w:val="24"/>
          <w:szCs w:val="24"/>
          <w:lang w:val="de-DE"/>
        </w:rPr>
        <w:t>Vertragsp</w:t>
      </w:r>
      <w:r w:rsidRPr="00E44F11">
        <w:rPr>
          <w:rFonts w:ascii="Times New Roman" w:eastAsia="Times New Roman" w:hAnsi="Times New Roman" w:cs="Times New Roman"/>
          <w:sz w:val="24"/>
          <w:szCs w:val="24"/>
          <w:lang w:val="de-DE"/>
        </w:rPr>
        <w:t xml:space="preserve">arteien Verpflichtungen auf, die unter anderem dem Erhalt der biologischen Vielfalt und der nachhaltigen Bewirtschaftung der Wälder und Fischressourcen dienen. Außerdem verpflichten sich die </w:t>
      </w:r>
      <w:r w:rsidR="00F04F40">
        <w:rPr>
          <w:rFonts w:ascii="Times New Roman" w:eastAsia="Times New Roman" w:hAnsi="Times New Roman" w:cs="Times New Roman"/>
          <w:sz w:val="24"/>
          <w:szCs w:val="24"/>
          <w:lang w:val="de-DE"/>
        </w:rPr>
        <w:t xml:space="preserve">Handelspartner, </w:t>
      </w:r>
      <w:r w:rsidRPr="00E44F11">
        <w:rPr>
          <w:rFonts w:ascii="Times New Roman" w:eastAsia="Times New Roman" w:hAnsi="Times New Roman" w:cs="Times New Roman"/>
          <w:sz w:val="24"/>
          <w:szCs w:val="24"/>
          <w:lang w:val="de-DE"/>
        </w:rPr>
        <w:t>das Pariser Klimaschutzabkommen effektiv umzusetzen.</w:t>
      </w:r>
      <w:r w:rsidR="00207634">
        <w:rPr>
          <w:rStyle w:val="FootnoteReference"/>
          <w:rFonts w:ascii="Times New Roman" w:eastAsia="Times New Roman" w:hAnsi="Times New Roman" w:cs="Times New Roman"/>
          <w:sz w:val="24"/>
          <w:szCs w:val="24"/>
          <w:lang w:val="de-DE"/>
        </w:rPr>
        <w:footnoteReference w:id="71"/>
      </w:r>
      <w:r w:rsidRPr="00E44F11">
        <w:rPr>
          <w:rFonts w:ascii="Times New Roman" w:eastAsia="Times New Roman" w:hAnsi="Times New Roman" w:cs="Times New Roman"/>
          <w:sz w:val="24"/>
          <w:szCs w:val="24"/>
          <w:lang w:val="de-DE"/>
        </w:rPr>
        <w:t xml:space="preserve"> Indien</w:t>
      </w:r>
      <w:r w:rsidR="00A41DD3">
        <w:rPr>
          <w:rFonts w:ascii="Times New Roman" w:eastAsia="Times New Roman" w:hAnsi="Times New Roman" w:cs="Times New Roman"/>
          <w:sz w:val="24"/>
          <w:szCs w:val="24"/>
          <w:lang w:val="de-DE"/>
        </w:rPr>
        <w:t xml:space="preserve">, die </w:t>
      </w:r>
      <w:r w:rsidR="00A41DD3" w:rsidRPr="00A41DD3">
        <w:rPr>
          <w:rFonts w:ascii="Times New Roman" w:eastAsia="Times New Roman" w:hAnsi="Times New Roman" w:cs="Times New Roman"/>
          <w:sz w:val="24"/>
          <w:szCs w:val="24"/>
          <w:lang w:val="de-DE"/>
        </w:rPr>
        <w:t>Philippinen</w:t>
      </w:r>
      <w:r w:rsidRPr="00E44F11">
        <w:rPr>
          <w:rFonts w:ascii="Times New Roman" w:eastAsia="Times New Roman" w:hAnsi="Times New Roman" w:cs="Times New Roman"/>
          <w:sz w:val="24"/>
          <w:szCs w:val="24"/>
          <w:lang w:val="de-DE"/>
        </w:rPr>
        <w:t xml:space="preserve"> oder Indonesien werden diese hohen Ansprüche aber in zukünftigen Abkommen nicht akzeptieren. </w:t>
      </w:r>
      <w:r w:rsidR="00504CB8" w:rsidRPr="008E77D3">
        <w:rPr>
          <w:rFonts w:ascii="Times New Roman" w:eastAsia="Times New Roman" w:hAnsi="Times New Roman" w:cs="Times New Roman"/>
          <w:sz w:val="24"/>
          <w:szCs w:val="24"/>
          <w:lang w:val="de-DE"/>
        </w:rPr>
        <w:t xml:space="preserve">Die </w:t>
      </w:r>
      <w:r w:rsidR="00207634">
        <w:rPr>
          <w:rFonts w:ascii="Times New Roman" w:eastAsia="Times New Roman" w:hAnsi="Times New Roman" w:cs="Times New Roman"/>
          <w:sz w:val="24"/>
          <w:szCs w:val="24"/>
          <w:lang w:val="de-DE"/>
        </w:rPr>
        <w:t>E</w:t>
      </w:r>
      <w:r w:rsidR="00504CB8" w:rsidRPr="008E77D3">
        <w:rPr>
          <w:rFonts w:ascii="Times New Roman" w:eastAsia="Times New Roman" w:hAnsi="Times New Roman" w:cs="Times New Roman"/>
          <w:sz w:val="24"/>
          <w:szCs w:val="24"/>
          <w:lang w:val="de-DE"/>
        </w:rPr>
        <w:t xml:space="preserve">uropäische Kommission wird unterstreichen müssen, dass Handelsverträge nicht </w:t>
      </w:r>
      <w:r w:rsidR="006E3D50" w:rsidRPr="008E77D3">
        <w:rPr>
          <w:rFonts w:ascii="Times New Roman" w:eastAsia="Times New Roman" w:hAnsi="Times New Roman" w:cs="Times New Roman"/>
          <w:sz w:val="24"/>
          <w:szCs w:val="24"/>
          <w:lang w:val="de-DE"/>
        </w:rPr>
        <w:t xml:space="preserve">primär dazu </w:t>
      </w:r>
      <w:r w:rsidR="00504CB8" w:rsidRPr="008E77D3">
        <w:rPr>
          <w:rFonts w:ascii="Times New Roman" w:eastAsia="Times New Roman" w:hAnsi="Times New Roman" w:cs="Times New Roman"/>
          <w:sz w:val="24"/>
          <w:szCs w:val="24"/>
          <w:lang w:val="de-DE"/>
        </w:rPr>
        <w:t xml:space="preserve">beschaffen sind, Nachhaltigkeitskapitel in den Partnerländern durchzusetzen, sondern </w:t>
      </w:r>
      <w:r w:rsidR="006E3D50" w:rsidRPr="008E77D3">
        <w:rPr>
          <w:rFonts w:ascii="Times New Roman" w:eastAsia="Times New Roman" w:hAnsi="Times New Roman" w:cs="Times New Roman"/>
          <w:sz w:val="24"/>
          <w:szCs w:val="24"/>
          <w:lang w:val="de-DE"/>
        </w:rPr>
        <w:t xml:space="preserve">dazu sind, </w:t>
      </w:r>
      <w:r w:rsidR="00504CB8" w:rsidRPr="008E77D3">
        <w:rPr>
          <w:rFonts w:ascii="Times New Roman" w:eastAsia="Times New Roman" w:hAnsi="Times New Roman" w:cs="Times New Roman"/>
          <w:sz w:val="24"/>
          <w:szCs w:val="24"/>
          <w:lang w:val="de-DE"/>
        </w:rPr>
        <w:t xml:space="preserve">Marktchancen </w:t>
      </w:r>
      <w:r w:rsidR="006E3D50" w:rsidRPr="008E77D3">
        <w:rPr>
          <w:rFonts w:ascii="Times New Roman" w:eastAsia="Times New Roman" w:hAnsi="Times New Roman" w:cs="Times New Roman"/>
          <w:sz w:val="24"/>
          <w:szCs w:val="24"/>
          <w:lang w:val="de-DE"/>
        </w:rPr>
        <w:t xml:space="preserve">zu </w:t>
      </w:r>
      <w:r w:rsidR="00504CB8" w:rsidRPr="008E77D3">
        <w:rPr>
          <w:rFonts w:ascii="Times New Roman" w:eastAsia="Times New Roman" w:hAnsi="Times New Roman" w:cs="Times New Roman"/>
          <w:sz w:val="24"/>
          <w:szCs w:val="24"/>
          <w:lang w:val="de-DE"/>
        </w:rPr>
        <w:t>eröffnen.</w:t>
      </w:r>
    </w:p>
    <w:p w14:paraId="66CC31D2" w14:textId="77777777" w:rsidR="006C7FCC" w:rsidRDefault="006C7FCC" w:rsidP="00DD3457">
      <w:pPr>
        <w:pStyle w:val="ListParagraph"/>
        <w:spacing w:line="240" w:lineRule="auto"/>
        <w:jc w:val="both"/>
        <w:rPr>
          <w:rFonts w:ascii="Times New Roman" w:eastAsia="Times New Roman" w:hAnsi="Times New Roman" w:cs="Times New Roman"/>
          <w:sz w:val="24"/>
          <w:szCs w:val="24"/>
          <w:lang w:val="de-DE"/>
        </w:rPr>
      </w:pPr>
    </w:p>
    <w:p w14:paraId="42A02F63" w14:textId="504AEB47" w:rsidR="006C7FCC" w:rsidRDefault="00387BC0" w:rsidP="00DD3457">
      <w:pPr>
        <w:pStyle w:val="ListParagraph"/>
        <w:numPr>
          <w:ilvl w:val="0"/>
          <w:numId w:val="8"/>
        </w:numPr>
        <w:spacing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D</w:t>
      </w:r>
      <w:r w:rsidR="006C7FCC" w:rsidRPr="00E44F11">
        <w:rPr>
          <w:rFonts w:ascii="Times New Roman" w:eastAsia="Times New Roman" w:hAnsi="Times New Roman" w:cs="Times New Roman"/>
          <w:sz w:val="24"/>
          <w:szCs w:val="24"/>
          <w:lang w:val="de-DE"/>
        </w:rPr>
        <w:t xml:space="preserve">ie EU </w:t>
      </w:r>
      <w:r>
        <w:rPr>
          <w:rFonts w:ascii="Times New Roman" w:eastAsia="Times New Roman" w:hAnsi="Times New Roman" w:cs="Times New Roman"/>
          <w:sz w:val="24"/>
          <w:szCs w:val="24"/>
          <w:lang w:val="de-DE"/>
        </w:rPr>
        <w:t xml:space="preserve">wird </w:t>
      </w:r>
      <w:r w:rsidR="006C7FCC" w:rsidRPr="00E44F11">
        <w:rPr>
          <w:rFonts w:ascii="Times New Roman" w:eastAsia="Times New Roman" w:hAnsi="Times New Roman" w:cs="Times New Roman"/>
          <w:sz w:val="24"/>
          <w:szCs w:val="24"/>
          <w:lang w:val="de-DE"/>
        </w:rPr>
        <w:t>sich als mächtiger Handelsblock dann behaupten k</w:t>
      </w:r>
      <w:r>
        <w:rPr>
          <w:rFonts w:ascii="Times New Roman" w:eastAsia="Times New Roman" w:hAnsi="Times New Roman" w:cs="Times New Roman"/>
          <w:sz w:val="24"/>
          <w:szCs w:val="24"/>
          <w:lang w:val="de-DE"/>
        </w:rPr>
        <w:t>ö</w:t>
      </w:r>
      <w:r w:rsidR="006C7FCC" w:rsidRPr="00E44F11">
        <w:rPr>
          <w:rFonts w:ascii="Times New Roman" w:eastAsia="Times New Roman" w:hAnsi="Times New Roman" w:cs="Times New Roman"/>
          <w:sz w:val="24"/>
          <w:szCs w:val="24"/>
          <w:lang w:val="de-DE"/>
        </w:rPr>
        <w:t>nn</w:t>
      </w:r>
      <w:r>
        <w:rPr>
          <w:rFonts w:ascii="Times New Roman" w:eastAsia="Times New Roman" w:hAnsi="Times New Roman" w:cs="Times New Roman"/>
          <w:sz w:val="24"/>
          <w:szCs w:val="24"/>
          <w:lang w:val="de-DE"/>
        </w:rPr>
        <w:t>en</w:t>
      </w:r>
      <w:r w:rsidR="006C7FCC" w:rsidRPr="00E44F11">
        <w:rPr>
          <w:rFonts w:ascii="Times New Roman" w:eastAsia="Times New Roman" w:hAnsi="Times New Roman" w:cs="Times New Roman"/>
          <w:sz w:val="24"/>
          <w:szCs w:val="24"/>
          <w:lang w:val="de-DE"/>
        </w:rPr>
        <w:t xml:space="preserve">, wenn sie einen Mittelweg zwischen Marktöffnung und Regulierung (Umweltstandards, Arbeitnehmerschutz </w:t>
      </w:r>
      <w:proofErr w:type="spellStart"/>
      <w:r w:rsidR="006C7FCC" w:rsidRPr="00E44F11">
        <w:rPr>
          <w:rFonts w:ascii="Times New Roman" w:eastAsia="Times New Roman" w:hAnsi="Times New Roman" w:cs="Times New Roman"/>
          <w:sz w:val="24"/>
          <w:szCs w:val="24"/>
          <w:lang w:val="de-DE"/>
        </w:rPr>
        <w:t>etc</w:t>
      </w:r>
      <w:proofErr w:type="spellEnd"/>
      <w:r w:rsidR="006C7FCC" w:rsidRPr="00E44F11">
        <w:rPr>
          <w:rFonts w:ascii="Times New Roman" w:eastAsia="Times New Roman" w:hAnsi="Times New Roman" w:cs="Times New Roman"/>
          <w:sz w:val="24"/>
          <w:szCs w:val="24"/>
          <w:lang w:val="de-DE"/>
        </w:rPr>
        <w:t>) einschlägt und im Bereich der Lieferkettengesetzgebung überbordende Regulierung hintanhält.</w:t>
      </w:r>
    </w:p>
    <w:p w14:paraId="2FE57DAF" w14:textId="77777777" w:rsidR="001456BF" w:rsidRPr="001456BF" w:rsidRDefault="001456BF" w:rsidP="00DD3457">
      <w:pPr>
        <w:pStyle w:val="ListParagraph"/>
        <w:spacing w:line="240" w:lineRule="auto"/>
        <w:rPr>
          <w:rFonts w:ascii="Times New Roman" w:eastAsia="Times New Roman" w:hAnsi="Times New Roman" w:cs="Times New Roman"/>
          <w:sz w:val="24"/>
          <w:szCs w:val="24"/>
          <w:lang w:val="de-DE"/>
        </w:rPr>
      </w:pPr>
    </w:p>
    <w:p w14:paraId="34D71D0F" w14:textId="7C925AA7" w:rsidR="006C7FCC" w:rsidRDefault="006C7FCC" w:rsidP="00DD3457">
      <w:pPr>
        <w:pStyle w:val="ListParagraph"/>
        <w:numPr>
          <w:ilvl w:val="0"/>
          <w:numId w:val="8"/>
        </w:numPr>
        <w:spacing w:line="240" w:lineRule="auto"/>
        <w:jc w:val="both"/>
        <w:rPr>
          <w:rFonts w:ascii="Times New Roman" w:eastAsia="Times New Roman" w:hAnsi="Times New Roman" w:cs="Times New Roman"/>
          <w:sz w:val="24"/>
          <w:szCs w:val="24"/>
          <w:lang w:val="de-DE"/>
        </w:rPr>
      </w:pPr>
      <w:r w:rsidRPr="00E44F11">
        <w:rPr>
          <w:rFonts w:ascii="Times New Roman" w:eastAsia="Times New Roman" w:hAnsi="Times New Roman" w:cs="Times New Roman"/>
          <w:sz w:val="24"/>
          <w:szCs w:val="24"/>
          <w:lang w:val="de-DE"/>
        </w:rPr>
        <w:t>Das Abkommen mit Kanada, eines der neuen Generation, hat den juristischen Überprüfungen des EuGH und des Bundesverfassungsgerichtshofes standgehalten. Es ist aber in vielen Mitgliedstaaten noch immer nicht ratifiziert worden</w:t>
      </w:r>
      <w:r w:rsidR="00387BC0">
        <w:rPr>
          <w:rStyle w:val="FootnoteReference"/>
          <w:rFonts w:ascii="Times New Roman" w:eastAsia="Times New Roman" w:hAnsi="Times New Roman" w:cs="Times New Roman"/>
          <w:sz w:val="24"/>
          <w:szCs w:val="24"/>
          <w:lang w:val="de-DE"/>
        </w:rPr>
        <w:footnoteReference w:id="72"/>
      </w:r>
      <w:r w:rsidRPr="00E44F11">
        <w:rPr>
          <w:rFonts w:ascii="Times New Roman" w:eastAsia="Times New Roman" w:hAnsi="Times New Roman" w:cs="Times New Roman"/>
          <w:sz w:val="24"/>
          <w:szCs w:val="24"/>
          <w:lang w:val="de-DE"/>
        </w:rPr>
        <w:t xml:space="preserve">. </w:t>
      </w:r>
      <w:r w:rsidR="00841BA2">
        <w:rPr>
          <w:rFonts w:ascii="Times New Roman" w:eastAsia="Times New Roman" w:hAnsi="Times New Roman" w:cs="Times New Roman"/>
          <w:sz w:val="24"/>
          <w:szCs w:val="24"/>
          <w:lang w:val="de-DE"/>
        </w:rPr>
        <w:t>I</w:t>
      </w:r>
      <w:r w:rsidRPr="00E44F11">
        <w:rPr>
          <w:rFonts w:ascii="Times New Roman" w:eastAsia="Times New Roman" w:hAnsi="Times New Roman" w:cs="Times New Roman"/>
          <w:sz w:val="24"/>
          <w:szCs w:val="24"/>
          <w:lang w:val="de-DE"/>
        </w:rPr>
        <w:t xml:space="preserve">n Bezug auf die Architektur zukünftiger Handelsabkommen ergibt sich die Option einer Aufteilung </w:t>
      </w:r>
      <w:r w:rsidRPr="00E44F11">
        <w:rPr>
          <w:rFonts w:ascii="Times New Roman" w:eastAsia="Times New Roman" w:hAnsi="Times New Roman" w:cs="Times New Roman"/>
          <w:sz w:val="24"/>
          <w:szCs w:val="24"/>
          <w:lang w:val="de-DE"/>
        </w:rPr>
        <w:lastRenderedPageBreak/>
        <w:t xml:space="preserve">in einen rein handelspolitischen Teil </w:t>
      </w:r>
      <w:proofErr w:type="spellStart"/>
      <w:r w:rsidRPr="00E44F11">
        <w:rPr>
          <w:rFonts w:ascii="Times New Roman" w:eastAsia="Times New Roman" w:hAnsi="Times New Roman" w:cs="Times New Roman"/>
          <w:sz w:val="24"/>
          <w:szCs w:val="24"/>
          <w:lang w:val="de-DE"/>
        </w:rPr>
        <w:t>bzw</w:t>
      </w:r>
      <w:proofErr w:type="spellEnd"/>
      <w:r w:rsidRPr="00E44F11">
        <w:rPr>
          <w:rFonts w:ascii="Times New Roman" w:eastAsia="Times New Roman" w:hAnsi="Times New Roman" w:cs="Times New Roman"/>
          <w:sz w:val="24"/>
          <w:szCs w:val="24"/>
          <w:lang w:val="de-DE"/>
        </w:rPr>
        <w:t xml:space="preserve"> einen politischen Teil und ein Investitionsschutzabkommen. </w:t>
      </w:r>
    </w:p>
    <w:p w14:paraId="32A77B9A" w14:textId="77777777" w:rsidR="00F04F40" w:rsidRPr="00F04F40" w:rsidRDefault="00F04F40" w:rsidP="00DD3457">
      <w:pPr>
        <w:pStyle w:val="ListParagraph"/>
        <w:spacing w:line="240" w:lineRule="auto"/>
        <w:rPr>
          <w:rFonts w:ascii="Times New Roman" w:eastAsia="Times New Roman" w:hAnsi="Times New Roman" w:cs="Times New Roman"/>
          <w:sz w:val="24"/>
          <w:szCs w:val="24"/>
          <w:lang w:val="de-DE"/>
        </w:rPr>
      </w:pPr>
    </w:p>
    <w:p w14:paraId="0EAAC8AA" w14:textId="256EB063" w:rsidR="00504CB8" w:rsidRPr="008E77D3" w:rsidRDefault="006E3D50" w:rsidP="00DD3457">
      <w:pPr>
        <w:pStyle w:val="ListParagraph"/>
        <w:numPr>
          <w:ilvl w:val="0"/>
          <w:numId w:val="8"/>
        </w:numPr>
        <w:spacing w:line="240" w:lineRule="auto"/>
        <w:jc w:val="both"/>
        <w:rPr>
          <w:rFonts w:ascii="Times New Roman" w:eastAsia="Times New Roman" w:hAnsi="Times New Roman" w:cs="Times New Roman"/>
          <w:sz w:val="24"/>
          <w:szCs w:val="24"/>
          <w:lang w:val="de-DE"/>
        </w:rPr>
      </w:pPr>
      <w:r w:rsidRPr="008E77D3">
        <w:rPr>
          <w:rFonts w:ascii="Times New Roman" w:eastAsia="Times New Roman" w:hAnsi="Times New Roman" w:cs="Times New Roman"/>
          <w:sz w:val="24"/>
          <w:szCs w:val="24"/>
          <w:lang w:val="de-DE"/>
        </w:rPr>
        <w:t xml:space="preserve">In Hinkunft </w:t>
      </w:r>
      <w:r w:rsidR="00504CB8" w:rsidRPr="008E77D3">
        <w:rPr>
          <w:rFonts w:ascii="Times New Roman" w:eastAsia="Times New Roman" w:hAnsi="Times New Roman" w:cs="Times New Roman"/>
          <w:sz w:val="24"/>
          <w:szCs w:val="24"/>
          <w:lang w:val="de-DE"/>
        </w:rPr>
        <w:t xml:space="preserve">sollten klare Mandate für Abkommen durch den Rat </w:t>
      </w:r>
      <w:r w:rsidRPr="008E77D3">
        <w:rPr>
          <w:rFonts w:ascii="Times New Roman" w:eastAsia="Times New Roman" w:hAnsi="Times New Roman" w:cs="Times New Roman"/>
          <w:sz w:val="24"/>
          <w:szCs w:val="24"/>
          <w:lang w:val="de-DE"/>
        </w:rPr>
        <w:t xml:space="preserve">der Europäischen Union </w:t>
      </w:r>
      <w:r w:rsidR="00504CB8" w:rsidRPr="008E77D3">
        <w:rPr>
          <w:rFonts w:ascii="Times New Roman" w:eastAsia="Times New Roman" w:hAnsi="Times New Roman" w:cs="Times New Roman"/>
          <w:sz w:val="24"/>
          <w:szCs w:val="24"/>
          <w:lang w:val="de-DE"/>
        </w:rPr>
        <w:t>an die Europäische Kommission erteilt werden, mit einer Aufteilung in ein Rahmenabkommen, das a) die Säule „Politischer Dialog und Zusammenarbeit“ und b) die Säule „Handel und Investitionen“ (einschließlich Investitionsschutzbestimmungen), das von allen Mitgliedstaaten ratifiziert werden muss, und einem Interims-Freihandelsabkommen, das nur die Teile der Säule „Handel und Investitionen“ des Rahmenabkommens abdeckt, die in die ausschließliche Zuständigkeit der EU fallen (</w:t>
      </w:r>
      <w:proofErr w:type="spellStart"/>
      <w:r w:rsidR="00504CB8" w:rsidRPr="008E77D3">
        <w:rPr>
          <w:rFonts w:ascii="Times New Roman" w:eastAsia="Times New Roman" w:hAnsi="Times New Roman" w:cs="Times New Roman"/>
          <w:sz w:val="24"/>
          <w:szCs w:val="24"/>
          <w:lang w:val="de-DE"/>
        </w:rPr>
        <w:t>dh</w:t>
      </w:r>
      <w:proofErr w:type="spellEnd"/>
      <w:r w:rsidR="00504CB8" w:rsidRPr="008E77D3">
        <w:rPr>
          <w:rFonts w:ascii="Times New Roman" w:eastAsia="Times New Roman" w:hAnsi="Times New Roman" w:cs="Times New Roman"/>
          <w:sz w:val="24"/>
          <w:szCs w:val="24"/>
          <w:lang w:val="de-DE"/>
        </w:rPr>
        <w:t xml:space="preserve"> ohne die Investitionsschutzbestimmungen).</w:t>
      </w:r>
    </w:p>
    <w:p w14:paraId="48E0CE0A" w14:textId="77777777" w:rsidR="00504CB8" w:rsidRPr="00504CB8" w:rsidRDefault="00504CB8" w:rsidP="00504CB8">
      <w:pPr>
        <w:pStyle w:val="ListParagraph"/>
        <w:rPr>
          <w:rFonts w:ascii="Times New Roman" w:eastAsia="Times New Roman" w:hAnsi="Times New Roman" w:cs="Times New Roman"/>
          <w:sz w:val="24"/>
          <w:szCs w:val="24"/>
          <w:lang w:val="de-DE"/>
        </w:rPr>
      </w:pPr>
    </w:p>
    <w:p w14:paraId="579D0E96" w14:textId="621E729A" w:rsidR="00F04F40" w:rsidRDefault="00F04F40" w:rsidP="00DD3457">
      <w:pPr>
        <w:pStyle w:val="ListParagraph"/>
        <w:numPr>
          <w:ilvl w:val="0"/>
          <w:numId w:val="8"/>
        </w:numPr>
        <w:spacing w:line="240" w:lineRule="auto"/>
        <w:jc w:val="both"/>
        <w:rPr>
          <w:rFonts w:ascii="Times New Roman" w:eastAsia="Times New Roman" w:hAnsi="Times New Roman" w:cs="Times New Roman"/>
          <w:sz w:val="24"/>
          <w:szCs w:val="24"/>
          <w:lang w:val="de-DE"/>
        </w:rPr>
      </w:pPr>
      <w:r w:rsidRPr="00E44F11">
        <w:rPr>
          <w:rFonts w:ascii="Times New Roman" w:eastAsia="Times New Roman" w:hAnsi="Times New Roman" w:cs="Times New Roman"/>
          <w:sz w:val="24"/>
          <w:szCs w:val="24"/>
          <w:lang w:val="de-DE"/>
        </w:rPr>
        <w:t>Auf dem Verhandlungstisch liegen Abkommen mit Australien,</w:t>
      </w:r>
      <w:r w:rsidR="00DD3457">
        <w:rPr>
          <w:rFonts w:ascii="Times New Roman" w:eastAsia="Times New Roman" w:hAnsi="Times New Roman" w:cs="Times New Roman"/>
          <w:sz w:val="24"/>
          <w:szCs w:val="24"/>
          <w:lang w:val="de-DE"/>
        </w:rPr>
        <w:t xml:space="preserve"> </w:t>
      </w:r>
      <w:r w:rsidRPr="00E44F11">
        <w:rPr>
          <w:rFonts w:ascii="Times New Roman" w:eastAsia="Times New Roman" w:hAnsi="Times New Roman" w:cs="Times New Roman"/>
          <w:sz w:val="24"/>
          <w:szCs w:val="24"/>
          <w:lang w:val="de-DE"/>
        </w:rPr>
        <w:t xml:space="preserve"> Mexiko und Mercosur. Für den Rat </w:t>
      </w:r>
      <w:r>
        <w:rPr>
          <w:rFonts w:ascii="Times New Roman" w:eastAsia="Times New Roman" w:hAnsi="Times New Roman" w:cs="Times New Roman"/>
          <w:sz w:val="24"/>
          <w:szCs w:val="24"/>
          <w:lang w:val="de-DE"/>
        </w:rPr>
        <w:t xml:space="preserve">der Europäischen Union </w:t>
      </w:r>
      <w:r w:rsidRPr="00E44F11">
        <w:rPr>
          <w:rFonts w:ascii="Times New Roman" w:eastAsia="Times New Roman" w:hAnsi="Times New Roman" w:cs="Times New Roman"/>
          <w:sz w:val="24"/>
          <w:szCs w:val="24"/>
          <w:lang w:val="de-DE"/>
        </w:rPr>
        <w:t>ist es wichtig, alle Interessengruppen, auch die Parlamente und die Zivilgesellschaft über die Fortschritte und Inhalte von Handelsabkommen, über die verhandelt wird, auf dem Laufenden zu halten</w:t>
      </w:r>
      <w:r>
        <w:rPr>
          <w:rStyle w:val="FootnoteReference"/>
          <w:rFonts w:ascii="Times New Roman" w:eastAsia="Times New Roman" w:hAnsi="Times New Roman" w:cs="Times New Roman"/>
          <w:sz w:val="24"/>
          <w:szCs w:val="24"/>
          <w:lang w:val="de-DE"/>
        </w:rPr>
        <w:footnoteReference w:id="73"/>
      </w:r>
      <w:r w:rsidR="00A41DD3">
        <w:rPr>
          <w:rFonts w:ascii="Times New Roman" w:eastAsia="Times New Roman" w:hAnsi="Times New Roman" w:cs="Times New Roman"/>
          <w:sz w:val="24"/>
          <w:szCs w:val="24"/>
          <w:lang w:val="de-DE"/>
        </w:rPr>
        <w:t xml:space="preserve">. </w:t>
      </w:r>
      <w:r w:rsidRPr="00387BC0">
        <w:rPr>
          <w:rFonts w:ascii="Times New Roman" w:eastAsia="Times New Roman" w:hAnsi="Times New Roman" w:cs="Times New Roman"/>
          <w:sz w:val="24"/>
          <w:szCs w:val="24"/>
          <w:lang w:val="de-DE"/>
        </w:rPr>
        <w:t xml:space="preserve">Es bleibt abzuwarten,  wie einzelne Mitgliedstaaten </w:t>
      </w:r>
      <w:r>
        <w:rPr>
          <w:rFonts w:ascii="Times New Roman" w:eastAsia="Times New Roman" w:hAnsi="Times New Roman" w:cs="Times New Roman"/>
          <w:sz w:val="24"/>
          <w:szCs w:val="24"/>
          <w:lang w:val="de-DE"/>
        </w:rPr>
        <w:t xml:space="preserve">auf dieses „Splitting“ </w:t>
      </w:r>
      <w:r w:rsidRPr="00387BC0">
        <w:rPr>
          <w:rFonts w:ascii="Times New Roman" w:eastAsia="Times New Roman" w:hAnsi="Times New Roman" w:cs="Times New Roman"/>
          <w:sz w:val="24"/>
          <w:szCs w:val="24"/>
          <w:lang w:val="de-DE"/>
        </w:rPr>
        <w:t>reagieren.</w:t>
      </w:r>
    </w:p>
    <w:p w14:paraId="3D625EF3" w14:textId="77777777" w:rsidR="009A4CB9" w:rsidRPr="009A4CB9" w:rsidRDefault="009A4CB9" w:rsidP="00DD3457">
      <w:pPr>
        <w:pStyle w:val="ListParagraph"/>
        <w:spacing w:line="240" w:lineRule="auto"/>
        <w:rPr>
          <w:rFonts w:ascii="Times New Roman" w:eastAsia="Times New Roman" w:hAnsi="Times New Roman" w:cs="Times New Roman"/>
          <w:sz w:val="24"/>
          <w:szCs w:val="24"/>
          <w:lang w:val="de-DE"/>
        </w:rPr>
      </w:pPr>
    </w:p>
    <w:p w14:paraId="2AE3A48E" w14:textId="1D2C4C23" w:rsidR="00504CB8" w:rsidRPr="008E77D3" w:rsidRDefault="00F04F40">
      <w:pPr>
        <w:pStyle w:val="ListParagraph"/>
        <w:numPr>
          <w:ilvl w:val="0"/>
          <w:numId w:val="8"/>
        </w:numPr>
        <w:spacing w:line="240" w:lineRule="auto"/>
        <w:jc w:val="both"/>
        <w:rPr>
          <w:rFonts w:ascii="Times New Roman" w:eastAsia="Times New Roman" w:hAnsi="Times New Roman" w:cs="Times New Roman"/>
          <w:sz w:val="24"/>
          <w:szCs w:val="24"/>
          <w:lang w:val="de-DE"/>
        </w:rPr>
      </w:pPr>
      <w:r w:rsidRPr="008E77D3">
        <w:rPr>
          <w:rFonts w:ascii="Times New Roman" w:eastAsia="Times New Roman" w:hAnsi="Times New Roman" w:cs="Times New Roman"/>
          <w:sz w:val="24"/>
          <w:szCs w:val="24"/>
          <w:lang w:val="de-DE"/>
        </w:rPr>
        <w:t xml:space="preserve">Die Beihilfebestimmungen </w:t>
      </w:r>
      <w:r w:rsidR="00406606" w:rsidRPr="008E77D3">
        <w:rPr>
          <w:rFonts w:ascii="Times New Roman" w:eastAsia="Times New Roman" w:hAnsi="Times New Roman" w:cs="Times New Roman"/>
          <w:sz w:val="24"/>
          <w:szCs w:val="24"/>
          <w:lang w:val="de-DE"/>
        </w:rPr>
        <w:t xml:space="preserve">in den Handelsabkommen der EU </w:t>
      </w:r>
      <w:r w:rsidRPr="008E77D3">
        <w:rPr>
          <w:rFonts w:ascii="Times New Roman" w:eastAsia="Times New Roman" w:hAnsi="Times New Roman" w:cs="Times New Roman"/>
          <w:sz w:val="24"/>
          <w:szCs w:val="24"/>
          <w:lang w:val="de-DE"/>
        </w:rPr>
        <w:t xml:space="preserve">und die </w:t>
      </w:r>
      <w:r w:rsidR="00406606" w:rsidRPr="008E77D3">
        <w:rPr>
          <w:rFonts w:ascii="Times New Roman" w:eastAsia="Times New Roman" w:hAnsi="Times New Roman" w:cs="Times New Roman"/>
          <w:sz w:val="24"/>
          <w:szCs w:val="24"/>
          <w:lang w:val="de-DE"/>
        </w:rPr>
        <w:t xml:space="preserve">Regeln, </w:t>
      </w:r>
      <w:r w:rsidRPr="008E77D3">
        <w:rPr>
          <w:rFonts w:ascii="Times New Roman" w:eastAsia="Times New Roman" w:hAnsi="Times New Roman" w:cs="Times New Roman"/>
          <w:sz w:val="24"/>
          <w:szCs w:val="24"/>
          <w:lang w:val="de-DE"/>
        </w:rPr>
        <w:t xml:space="preserve"> die von der EU in ihren Präferenzhandelsabkommen angewandt werden und auf einer Enttäuschung über die multilateralen Regeln beruhen, lösen in der Tat einige Unsicherheiten auf, die nach WTO-Recht offengeblieben sind. Ein fehlender Streitbeilegungsmechanismus bei der WTO macht eine Rechtsdurchsetzung schier unmöglich. Die neue Verordnung über drittstaatliche Beihilfen der EU könnte Abhilfe schaffen. Ihr Erfolg hängt aber von einer Übereinstimmung mit WTO-Recht und der Bereitschaft der Handelspartnerländer ab, die EU-Regeln in ihren Hoheitsgebieten anzuwenden und zu akzeptieren.</w:t>
      </w:r>
      <w:r w:rsidR="00504CB8" w:rsidRPr="008E77D3">
        <w:rPr>
          <w:lang w:val="de-DE"/>
        </w:rPr>
        <w:t xml:space="preserve"> </w:t>
      </w:r>
      <w:r w:rsidR="00504CB8" w:rsidRPr="008E77D3">
        <w:rPr>
          <w:rFonts w:ascii="Times New Roman" w:eastAsia="Times New Roman" w:hAnsi="Times New Roman" w:cs="Times New Roman"/>
          <w:sz w:val="24"/>
          <w:szCs w:val="24"/>
          <w:lang w:val="de-DE"/>
        </w:rPr>
        <w:t xml:space="preserve">Die EU-Verordnung  über </w:t>
      </w:r>
      <w:proofErr w:type="spellStart"/>
      <w:r w:rsidR="00504CB8" w:rsidRPr="008E77D3">
        <w:rPr>
          <w:rFonts w:ascii="Times New Roman" w:eastAsia="Times New Roman" w:hAnsi="Times New Roman" w:cs="Times New Roman"/>
          <w:sz w:val="24"/>
          <w:szCs w:val="24"/>
          <w:lang w:val="de-DE"/>
        </w:rPr>
        <w:t>Drittlandsbeihilfen</w:t>
      </w:r>
      <w:proofErr w:type="spellEnd"/>
      <w:r w:rsidR="00504CB8" w:rsidRPr="008E77D3">
        <w:rPr>
          <w:rFonts w:ascii="Times New Roman" w:eastAsia="Times New Roman" w:hAnsi="Times New Roman" w:cs="Times New Roman"/>
          <w:sz w:val="24"/>
          <w:szCs w:val="24"/>
          <w:lang w:val="de-DE"/>
        </w:rPr>
        <w:t xml:space="preserve"> wirkt nur dann, wenn es kein entsprechendes Instrument auf der Ebene der WTO gibt. Die Verordnung (EU) 2016/1036 des Europäischen Parlaments und des Rates vom 8. Juni 2016 über den Schutz gegen subventionierte Einfuhren aus nicht zur EU gehörigen Staaten behält daher ihre Bedeutung. </w:t>
      </w:r>
    </w:p>
    <w:p w14:paraId="1544EB2D" w14:textId="77777777" w:rsidR="008E77D3" w:rsidRDefault="008E77D3" w:rsidP="00504CB8">
      <w:pPr>
        <w:pStyle w:val="ListParagraph"/>
        <w:spacing w:line="240" w:lineRule="auto"/>
        <w:jc w:val="both"/>
        <w:rPr>
          <w:rFonts w:ascii="Times New Roman" w:eastAsia="Times New Roman" w:hAnsi="Times New Roman" w:cs="Times New Roman"/>
          <w:sz w:val="24"/>
          <w:szCs w:val="24"/>
          <w:lang w:val="de-DE"/>
        </w:rPr>
      </w:pPr>
    </w:p>
    <w:p w14:paraId="3F4565D6" w14:textId="4DD8E7E4" w:rsidR="00F04F40" w:rsidRDefault="00504CB8" w:rsidP="00504CB8">
      <w:pPr>
        <w:pStyle w:val="ListParagraph"/>
        <w:spacing w:line="240" w:lineRule="auto"/>
        <w:jc w:val="both"/>
        <w:rPr>
          <w:rFonts w:ascii="Times New Roman" w:eastAsia="Times New Roman" w:hAnsi="Times New Roman" w:cs="Times New Roman"/>
          <w:sz w:val="24"/>
          <w:szCs w:val="24"/>
          <w:lang w:val="de-DE"/>
        </w:rPr>
      </w:pPr>
      <w:r w:rsidRPr="008E77D3">
        <w:rPr>
          <w:rFonts w:ascii="Times New Roman" w:eastAsia="Times New Roman" w:hAnsi="Times New Roman" w:cs="Times New Roman"/>
          <w:sz w:val="24"/>
          <w:szCs w:val="24"/>
          <w:lang w:val="de-DE"/>
        </w:rPr>
        <w:t>Es besteht jedoch Bedarf an weiteren Verbesserungen: Bereits nach Einleitung eines Streitbeilegungs-/Arbitrageverfahrens durch die EU sollten einstweilige Maßnahmen im Falle eines offensichtlichen Verstoßes gegen internationale Handelsregeln möglich sein, der die geschäftlichen Interessen der EU gefährdet. Die EU sollte nicht daran gehindert werden, vorläufige Gegenmaßnahmen zu ergreifen, selbst wenn einer WTO-Panelentscheidung nicht zugestimmt wird, weil das Rechtsmittel nicht funktioniert und, weil der Geschäftspartner keine endgültige Entscheidung zulässt</w:t>
      </w:r>
      <w:r w:rsidRPr="00504CB8">
        <w:rPr>
          <w:rFonts w:ascii="Times New Roman" w:eastAsia="Times New Roman" w:hAnsi="Times New Roman" w:cs="Times New Roman"/>
          <w:sz w:val="24"/>
          <w:szCs w:val="24"/>
          <w:lang w:val="de-DE"/>
        </w:rPr>
        <w:t xml:space="preserve">.  </w:t>
      </w:r>
    </w:p>
    <w:p w14:paraId="17021A35" w14:textId="77777777" w:rsidR="00F04F40" w:rsidRDefault="00F04F40" w:rsidP="00DD3457">
      <w:pPr>
        <w:pStyle w:val="ListParagraph"/>
        <w:spacing w:line="240" w:lineRule="auto"/>
        <w:jc w:val="both"/>
        <w:rPr>
          <w:rFonts w:ascii="Times New Roman" w:eastAsia="Times New Roman" w:hAnsi="Times New Roman" w:cs="Times New Roman"/>
          <w:sz w:val="24"/>
          <w:szCs w:val="24"/>
          <w:lang w:val="de-DE"/>
        </w:rPr>
      </w:pPr>
    </w:p>
    <w:p w14:paraId="7361A945" w14:textId="77777777" w:rsidR="00F04F40" w:rsidRPr="00E44F11" w:rsidRDefault="00F04F40" w:rsidP="00DD3457">
      <w:pPr>
        <w:pStyle w:val="ListParagraph"/>
        <w:numPr>
          <w:ilvl w:val="0"/>
          <w:numId w:val="8"/>
        </w:numPr>
        <w:spacing w:line="240" w:lineRule="auto"/>
        <w:jc w:val="both"/>
        <w:rPr>
          <w:rFonts w:ascii="Times New Roman" w:eastAsia="Times New Roman" w:hAnsi="Times New Roman" w:cs="Times New Roman"/>
          <w:sz w:val="24"/>
          <w:szCs w:val="24"/>
          <w:lang w:val="de-DE"/>
        </w:rPr>
      </w:pPr>
      <w:r w:rsidRPr="00E44F11">
        <w:rPr>
          <w:rFonts w:ascii="Times New Roman" w:eastAsia="Times New Roman" w:hAnsi="Times New Roman" w:cs="Times New Roman"/>
          <w:sz w:val="24"/>
          <w:szCs w:val="24"/>
          <w:lang w:val="de-DE"/>
        </w:rPr>
        <w:t xml:space="preserve">Die Anwendung der Verordnung zu </w:t>
      </w:r>
      <w:proofErr w:type="spellStart"/>
      <w:r w:rsidRPr="00E44F11">
        <w:rPr>
          <w:rFonts w:ascii="Times New Roman" w:eastAsia="Times New Roman" w:hAnsi="Times New Roman" w:cs="Times New Roman"/>
          <w:sz w:val="24"/>
          <w:szCs w:val="24"/>
          <w:lang w:val="de-DE"/>
        </w:rPr>
        <w:t>Drittlandssubventionen</w:t>
      </w:r>
      <w:proofErr w:type="spellEnd"/>
      <w:r w:rsidRPr="00E44F11">
        <w:rPr>
          <w:rFonts w:ascii="Times New Roman" w:eastAsia="Times New Roman" w:hAnsi="Times New Roman" w:cs="Times New Roman"/>
          <w:sz w:val="24"/>
          <w:szCs w:val="24"/>
          <w:lang w:val="de-DE"/>
        </w:rPr>
        <w:t xml:space="preserve"> und die Einleitung eines Verfahrens gegen subventionierte Elektrofahrzeuge aus China sowie langfristige Strafzölle auf importiertes Solarglas aus China</w:t>
      </w:r>
      <w:r>
        <w:rPr>
          <w:rStyle w:val="FootnoteReference"/>
          <w:rFonts w:ascii="Times New Roman" w:eastAsia="Times New Roman" w:hAnsi="Times New Roman" w:cs="Times New Roman"/>
          <w:sz w:val="24"/>
          <w:szCs w:val="24"/>
          <w:lang w:val="de-DE"/>
        </w:rPr>
        <w:footnoteReference w:id="74"/>
      </w:r>
      <w:r w:rsidRPr="00E44F11">
        <w:rPr>
          <w:rFonts w:ascii="Times New Roman" w:eastAsia="Times New Roman" w:hAnsi="Times New Roman" w:cs="Times New Roman"/>
          <w:sz w:val="24"/>
          <w:szCs w:val="24"/>
          <w:lang w:val="de-DE"/>
        </w:rPr>
        <w:t xml:space="preserve"> sind klare Indizien dafür, dass die Europäische Union in Hinkunft verstärkt ihren Markt schützen wird.</w:t>
      </w:r>
    </w:p>
    <w:bookmarkEnd w:id="13"/>
    <w:bookmarkEnd w:id="14"/>
    <w:p w14:paraId="37AD0566" w14:textId="77777777" w:rsidR="00DD3457" w:rsidRDefault="00DD3457" w:rsidP="00595661">
      <w:pPr>
        <w:spacing w:after="0"/>
        <w:jc w:val="both"/>
        <w:rPr>
          <w:rFonts w:ascii="Times New Roman" w:hAnsi="Times New Roman" w:cs="Times New Roman"/>
          <w:sz w:val="24"/>
          <w:szCs w:val="24"/>
          <w:lang w:val="de-DE"/>
        </w:rPr>
      </w:pPr>
    </w:p>
    <w:p w14:paraId="0EDDC81E" w14:textId="49B4C9C2" w:rsidR="0059586E" w:rsidRPr="00183437" w:rsidRDefault="0059586E" w:rsidP="00595661">
      <w:pPr>
        <w:spacing w:after="0"/>
        <w:jc w:val="both"/>
        <w:rPr>
          <w:rFonts w:ascii="Times New Roman" w:hAnsi="Times New Roman" w:cs="Times New Roman"/>
          <w:sz w:val="24"/>
          <w:szCs w:val="24"/>
          <w:lang w:val="de-DE"/>
        </w:rPr>
      </w:pPr>
      <w:proofErr w:type="spellStart"/>
      <w:r w:rsidRPr="00183437">
        <w:rPr>
          <w:rFonts w:ascii="Times New Roman" w:hAnsi="Times New Roman" w:cs="Times New Roman"/>
          <w:sz w:val="24"/>
          <w:szCs w:val="24"/>
          <w:lang w:val="de-DE"/>
        </w:rPr>
        <w:lastRenderedPageBreak/>
        <w:t>Mag.Dr</w:t>
      </w:r>
      <w:proofErr w:type="spellEnd"/>
      <w:r w:rsidRPr="00183437">
        <w:rPr>
          <w:rFonts w:ascii="Times New Roman" w:hAnsi="Times New Roman" w:cs="Times New Roman"/>
          <w:sz w:val="24"/>
          <w:szCs w:val="24"/>
          <w:lang w:val="de-DE"/>
        </w:rPr>
        <w:t>. Johann Sollgruber, MaS ULB Bruxelles</w:t>
      </w:r>
    </w:p>
    <w:p w14:paraId="78254AD5" w14:textId="77777777" w:rsidR="00DD3457" w:rsidRDefault="00595661" w:rsidP="00595661">
      <w:pPr>
        <w:spacing w:after="0"/>
        <w:jc w:val="both"/>
        <w:rPr>
          <w:rFonts w:ascii="Times New Roman" w:hAnsi="Times New Roman" w:cs="Times New Roman"/>
          <w:b/>
          <w:bCs/>
          <w:sz w:val="24"/>
          <w:szCs w:val="24"/>
          <w:lang w:val="de-DE"/>
        </w:rPr>
      </w:pPr>
      <w:r w:rsidRPr="00AB1DDF">
        <w:rPr>
          <w:rFonts w:ascii="Times New Roman" w:hAnsi="Times New Roman" w:cs="Times New Roman"/>
          <w:b/>
          <w:bCs/>
          <w:sz w:val="24"/>
          <w:szCs w:val="24"/>
          <w:lang w:val="de-DE"/>
        </w:rPr>
        <w:t>Disclaimer</w:t>
      </w:r>
    </w:p>
    <w:p w14:paraId="7309DE3F" w14:textId="62BBEACF" w:rsidR="00595661" w:rsidRPr="00595661" w:rsidRDefault="00595661" w:rsidP="00595661">
      <w:pPr>
        <w:spacing w:after="0"/>
        <w:jc w:val="both"/>
        <w:rPr>
          <w:lang w:val="de-DE"/>
        </w:rPr>
      </w:pPr>
      <w:r w:rsidRPr="00595661">
        <w:rPr>
          <w:rFonts w:ascii="Times New Roman" w:hAnsi="Times New Roman" w:cs="Times New Roman"/>
          <w:lang w:val="de-DE"/>
        </w:rPr>
        <w:t>Der Autor ist Beamter der Europäischen Kommission in der Generalsdirektion Handel. Er ist Lektor a</w:t>
      </w:r>
      <w:r w:rsidR="00DD3457">
        <w:rPr>
          <w:rFonts w:ascii="Times New Roman" w:hAnsi="Times New Roman" w:cs="Times New Roman"/>
          <w:lang w:val="de-DE"/>
        </w:rPr>
        <w:t xml:space="preserve">m </w:t>
      </w:r>
      <w:r w:rsidRPr="00595661">
        <w:rPr>
          <w:rFonts w:ascii="Times New Roman" w:hAnsi="Times New Roman" w:cs="Times New Roman"/>
          <w:lang w:val="de-DE"/>
        </w:rPr>
        <w:t>Juridicum der Universität Wien. Der Beitrag widerspiegelt seine persönliche Rechtsmeinung und bindet nicht die Organe der Europäischen Institutionen.</w:t>
      </w:r>
    </w:p>
    <w:sectPr w:rsidR="00595661" w:rsidRPr="0059566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985D" w14:textId="77777777" w:rsidR="00E96F7A" w:rsidRDefault="00E96F7A" w:rsidP="0059586E">
      <w:pPr>
        <w:spacing w:after="0" w:line="240" w:lineRule="auto"/>
      </w:pPr>
      <w:r>
        <w:separator/>
      </w:r>
    </w:p>
  </w:endnote>
  <w:endnote w:type="continuationSeparator" w:id="0">
    <w:p w14:paraId="709A09A5" w14:textId="77777777" w:rsidR="00E96F7A" w:rsidRDefault="00E96F7A" w:rsidP="0059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38301"/>
      <w:docPartObj>
        <w:docPartGallery w:val="Page Numbers (Bottom of Page)"/>
        <w:docPartUnique/>
      </w:docPartObj>
    </w:sdtPr>
    <w:sdtEndPr/>
    <w:sdtContent>
      <w:p w14:paraId="4D5F0C3C" w14:textId="77777777" w:rsidR="000E43CC" w:rsidRDefault="00904D42">
        <w:pPr>
          <w:pStyle w:val="Footer"/>
          <w:jc w:val="center"/>
        </w:pPr>
        <w:r>
          <w:fldChar w:fldCharType="begin"/>
        </w:r>
        <w:r>
          <w:instrText>PAGE   \* MERGEFORMAT</w:instrText>
        </w:r>
        <w:r>
          <w:fldChar w:fldCharType="separate"/>
        </w:r>
        <w:r>
          <w:rPr>
            <w:lang w:val="de-DE"/>
          </w:rPr>
          <w:t>2</w:t>
        </w:r>
        <w:r>
          <w:fldChar w:fldCharType="end"/>
        </w:r>
      </w:p>
    </w:sdtContent>
  </w:sdt>
  <w:p w14:paraId="526542EC" w14:textId="77777777" w:rsidR="000E43CC" w:rsidRDefault="000E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7E80" w14:textId="77777777" w:rsidR="00E96F7A" w:rsidRDefault="00E96F7A" w:rsidP="0059586E">
      <w:pPr>
        <w:spacing w:after="0" w:line="240" w:lineRule="auto"/>
      </w:pPr>
      <w:r>
        <w:separator/>
      </w:r>
    </w:p>
  </w:footnote>
  <w:footnote w:type="continuationSeparator" w:id="0">
    <w:p w14:paraId="371667E5" w14:textId="77777777" w:rsidR="00E96F7A" w:rsidRDefault="00E96F7A" w:rsidP="0059586E">
      <w:pPr>
        <w:spacing w:after="0" w:line="240" w:lineRule="auto"/>
      </w:pPr>
      <w:r>
        <w:continuationSeparator/>
      </w:r>
    </w:p>
  </w:footnote>
  <w:footnote w:id="1">
    <w:p w14:paraId="2F169646" w14:textId="22C72677" w:rsidR="0059586E" w:rsidRPr="00431467" w:rsidRDefault="0059586E" w:rsidP="00431467">
      <w:pPr>
        <w:shd w:val="clear" w:color="auto" w:fill="FFFFFF"/>
        <w:spacing w:after="0" w:line="240" w:lineRule="auto"/>
        <w:rPr>
          <w:rFonts w:ascii="Times New Roman" w:eastAsia="Times New Roman" w:hAnsi="Times New Roman" w:cs="Times New Roman"/>
          <w:color w:val="242424"/>
          <w:spacing w:val="3"/>
          <w:lang w:val="de-DE" w:eastAsia="en-GB"/>
        </w:rPr>
      </w:pPr>
      <w:r w:rsidRPr="00431467">
        <w:rPr>
          <w:rStyle w:val="FootnoteReference"/>
          <w:rFonts w:ascii="Times New Roman" w:hAnsi="Times New Roman" w:cs="Times New Roman"/>
        </w:rPr>
        <w:footnoteRef/>
      </w:r>
      <w:r w:rsidRPr="00431467">
        <w:rPr>
          <w:rFonts w:ascii="Times New Roman" w:hAnsi="Times New Roman" w:cs="Times New Roman"/>
          <w:lang w:val="de-DE"/>
        </w:rPr>
        <w:t xml:space="preserve"> </w:t>
      </w:r>
      <w:r w:rsidRPr="00431467">
        <w:rPr>
          <w:rFonts w:ascii="Times New Roman" w:eastAsia="Times New Roman" w:hAnsi="Times New Roman" w:cs="Times New Roman"/>
          <w:color w:val="242424"/>
          <w:spacing w:val="3"/>
          <w:lang w:val="de-DE" w:eastAsia="en-GB"/>
        </w:rPr>
        <w:t xml:space="preserve">Siehe Entscheidungen zu Art 206: </w:t>
      </w:r>
      <w:r w:rsidR="0040518F" w:rsidRPr="00431467">
        <w:rPr>
          <w:rFonts w:ascii="Times New Roman" w:eastAsia="Times New Roman" w:hAnsi="Times New Roman" w:cs="Times New Roman"/>
          <w:i/>
          <w:iCs/>
          <w:color w:val="242424"/>
          <w:spacing w:val="3"/>
          <w:lang w:val="de-DE" w:eastAsia="en-GB"/>
        </w:rPr>
        <w:t>Sharpston</w:t>
      </w:r>
      <w:r w:rsidR="0040518F" w:rsidRPr="00431467">
        <w:rPr>
          <w:rFonts w:ascii="Times New Roman" w:eastAsia="Times New Roman" w:hAnsi="Times New Roman" w:cs="Times New Roman"/>
          <w:color w:val="242424"/>
          <w:spacing w:val="3"/>
          <w:lang w:val="de-DE" w:eastAsia="en-GB"/>
        </w:rPr>
        <w:t xml:space="preserve">, ECLI:EU:C:2016:992 </w:t>
      </w:r>
      <w:r w:rsidR="00E061B6" w:rsidRPr="00431467">
        <w:rPr>
          <w:rFonts w:ascii="Times New Roman" w:eastAsia="Times New Roman" w:hAnsi="Times New Roman" w:cs="Times New Roman"/>
          <w:color w:val="242424"/>
          <w:spacing w:val="3"/>
          <w:lang w:val="de-DE" w:eastAsia="en-GB"/>
        </w:rPr>
        <w:t>= BeckRS 2016/120678 - Schlussanträge Freihandelsabkommen mit Singapur;</w:t>
      </w:r>
      <w:r w:rsidR="002A4A0F" w:rsidRPr="00431467">
        <w:rPr>
          <w:rFonts w:ascii="Times New Roman" w:eastAsia="Times New Roman" w:hAnsi="Times New Roman" w:cs="Times New Roman"/>
          <w:color w:val="242424"/>
          <w:spacing w:val="3"/>
          <w:lang w:val="de-DE" w:eastAsia="en-GB"/>
        </w:rPr>
        <w:t xml:space="preserve"> </w:t>
      </w:r>
      <w:r w:rsidRPr="00431467">
        <w:rPr>
          <w:rFonts w:ascii="Times New Roman" w:eastAsia="Times New Roman" w:hAnsi="Times New Roman" w:cs="Times New Roman"/>
          <w:i/>
          <w:iCs/>
          <w:color w:val="242424"/>
          <w:spacing w:val="3"/>
          <w:lang w:val="de-DE" w:eastAsia="en-GB"/>
        </w:rPr>
        <w:t>BFH</w:t>
      </w:r>
      <w:r w:rsidRPr="00431467">
        <w:rPr>
          <w:rFonts w:ascii="Times New Roman" w:eastAsia="Times New Roman" w:hAnsi="Times New Roman" w:cs="Times New Roman"/>
          <w:color w:val="242424"/>
          <w:spacing w:val="3"/>
          <w:lang w:val="de-DE" w:eastAsia="en-GB"/>
        </w:rPr>
        <w:t xml:space="preserve">, </w:t>
      </w:r>
      <w:r w:rsidR="002A4A0F" w:rsidRPr="00431467">
        <w:rPr>
          <w:rFonts w:ascii="Times New Roman" w:eastAsia="Times New Roman" w:hAnsi="Times New Roman" w:cs="Times New Roman"/>
          <w:color w:val="242424"/>
          <w:spacing w:val="3"/>
          <w:lang w:val="de-DE" w:eastAsia="en-GB"/>
        </w:rPr>
        <w:t>ECLI:DE:BFH:2021:U.191021.</w:t>
      </w:r>
      <w:r w:rsidRPr="00431467">
        <w:rPr>
          <w:rFonts w:ascii="Times New Roman" w:eastAsia="Times New Roman" w:hAnsi="Times New Roman" w:cs="Times New Roman"/>
          <w:color w:val="242424"/>
          <w:spacing w:val="3"/>
          <w:lang w:val="de-DE" w:eastAsia="en-GB"/>
        </w:rPr>
        <w:t>VIIR7</w:t>
      </w:r>
      <w:r w:rsidR="002A4A0F" w:rsidRPr="00431467">
        <w:rPr>
          <w:rFonts w:ascii="Times New Roman" w:eastAsia="Times New Roman" w:hAnsi="Times New Roman" w:cs="Times New Roman"/>
          <w:color w:val="242424"/>
          <w:spacing w:val="3"/>
          <w:lang w:val="de-DE" w:eastAsia="en-GB"/>
        </w:rPr>
        <w:t>.</w:t>
      </w:r>
      <w:r w:rsidRPr="00431467">
        <w:rPr>
          <w:rFonts w:ascii="Times New Roman" w:eastAsia="Times New Roman" w:hAnsi="Times New Roman" w:cs="Times New Roman"/>
          <w:color w:val="242424"/>
          <w:spacing w:val="3"/>
          <w:lang w:val="de-DE" w:eastAsia="en-GB"/>
        </w:rPr>
        <w:t>18</w:t>
      </w:r>
      <w:r w:rsidR="002A4A0F" w:rsidRPr="00431467">
        <w:rPr>
          <w:rFonts w:ascii="Times New Roman" w:eastAsia="Times New Roman" w:hAnsi="Times New Roman" w:cs="Times New Roman"/>
          <w:color w:val="242424"/>
          <w:spacing w:val="3"/>
          <w:lang w:val="de-DE" w:eastAsia="en-GB"/>
        </w:rPr>
        <w:t>.0 = BeckRS 2021, 45231;</w:t>
      </w:r>
      <w:r w:rsidR="008C3435" w:rsidRPr="00431467">
        <w:rPr>
          <w:rFonts w:ascii="Times New Roman" w:eastAsia="Times New Roman" w:hAnsi="Times New Roman" w:cs="Times New Roman"/>
          <w:color w:val="242424"/>
          <w:spacing w:val="3"/>
          <w:lang w:val="de-DE" w:eastAsia="en-GB"/>
        </w:rPr>
        <w:t xml:space="preserve"> </w:t>
      </w:r>
      <w:r w:rsidR="008C3435" w:rsidRPr="00431467">
        <w:rPr>
          <w:rFonts w:ascii="Times New Roman" w:eastAsia="Times New Roman" w:hAnsi="Times New Roman" w:cs="Times New Roman"/>
          <w:i/>
          <w:iCs/>
          <w:color w:val="242424"/>
          <w:spacing w:val="3"/>
          <w:lang w:val="de-DE" w:eastAsia="en-GB"/>
        </w:rPr>
        <w:t>Sharpston</w:t>
      </w:r>
      <w:r w:rsidR="008C3435" w:rsidRPr="00431467">
        <w:rPr>
          <w:rFonts w:ascii="Times New Roman" w:eastAsia="Times New Roman" w:hAnsi="Times New Roman" w:cs="Times New Roman"/>
          <w:color w:val="242424"/>
          <w:spacing w:val="3"/>
          <w:lang w:val="de-DE" w:eastAsia="en-GB"/>
        </w:rPr>
        <w:t xml:space="preserve">, ECLI:EU:C:2018:536 = BeckRS 2018/14061 – Schlussanträge FENS spol. s r. o. v. </w:t>
      </w:r>
      <w:proofErr w:type="spellStart"/>
      <w:r w:rsidR="008C3435" w:rsidRPr="00431467">
        <w:rPr>
          <w:rFonts w:ascii="Times New Roman" w:eastAsia="Times New Roman" w:hAnsi="Times New Roman" w:cs="Times New Roman"/>
          <w:color w:val="242424"/>
          <w:spacing w:val="3"/>
          <w:lang w:val="de-DE" w:eastAsia="en-GB"/>
        </w:rPr>
        <w:t>Slovenská</w:t>
      </w:r>
      <w:proofErr w:type="spellEnd"/>
      <w:r w:rsidR="008C3435" w:rsidRPr="00431467">
        <w:rPr>
          <w:rFonts w:ascii="Times New Roman" w:eastAsia="Times New Roman" w:hAnsi="Times New Roman" w:cs="Times New Roman"/>
          <w:color w:val="242424"/>
          <w:spacing w:val="3"/>
          <w:lang w:val="de-DE" w:eastAsia="en-GB"/>
        </w:rPr>
        <w:t xml:space="preserve"> </w:t>
      </w:r>
      <w:proofErr w:type="spellStart"/>
      <w:r w:rsidR="008C3435" w:rsidRPr="00431467">
        <w:rPr>
          <w:rFonts w:ascii="Times New Roman" w:eastAsia="Times New Roman" w:hAnsi="Times New Roman" w:cs="Times New Roman"/>
          <w:color w:val="242424"/>
          <w:spacing w:val="3"/>
          <w:lang w:val="de-DE" w:eastAsia="en-GB"/>
        </w:rPr>
        <w:t>republika</w:t>
      </w:r>
      <w:proofErr w:type="spellEnd"/>
      <w:r w:rsidR="008C3435" w:rsidRPr="00431467">
        <w:rPr>
          <w:rFonts w:ascii="Times New Roman" w:eastAsia="Times New Roman" w:hAnsi="Times New Roman" w:cs="Times New Roman"/>
          <w:color w:val="242424"/>
          <w:spacing w:val="3"/>
          <w:lang w:val="de-DE" w:eastAsia="en-GB"/>
        </w:rPr>
        <w:t>.</w:t>
      </w:r>
    </w:p>
  </w:footnote>
  <w:footnote w:id="2">
    <w:p w14:paraId="7B556702" w14:textId="383462B8" w:rsidR="004C652D" w:rsidRPr="00E82A3F" w:rsidRDefault="004C652D">
      <w:pPr>
        <w:pStyle w:val="FootnoteText"/>
        <w:rPr>
          <w:lang w:val="de-DE"/>
        </w:rPr>
      </w:pPr>
      <w:r>
        <w:rPr>
          <w:rStyle w:val="FootnoteReference"/>
        </w:rPr>
        <w:footnoteRef/>
      </w:r>
      <w:r w:rsidRPr="004C652D">
        <w:rPr>
          <w:lang w:val="de-DE"/>
        </w:rPr>
        <w:t xml:space="preserve"> </w:t>
      </w:r>
      <w:r w:rsidRPr="00546191">
        <w:rPr>
          <w:rFonts w:ascii="Times New Roman" w:hAnsi="Times New Roman" w:cs="Times New Roman"/>
          <w:sz w:val="22"/>
          <w:szCs w:val="22"/>
          <w:lang w:val="de-DE"/>
        </w:rPr>
        <w:t>https://www.zim.de/Redaktion/DE/Artikel/Aussenwirtschaft/freihandelsabkommen-aktuelle-</w:t>
      </w:r>
      <w:r w:rsidRPr="00E82A3F">
        <w:rPr>
          <w:rFonts w:ascii="Times New Roman" w:hAnsi="Times New Roman" w:cs="Times New Roman"/>
          <w:sz w:val="22"/>
          <w:szCs w:val="22"/>
          <w:lang w:val="de-DE"/>
        </w:rPr>
        <w:t>verhandlungen.html</w:t>
      </w:r>
    </w:p>
  </w:footnote>
  <w:footnote w:id="3">
    <w:p w14:paraId="108FBDE5" w14:textId="049E81F9" w:rsidR="0059586E" w:rsidRPr="00431467" w:rsidRDefault="0059586E" w:rsidP="00431467">
      <w:pPr>
        <w:pStyle w:val="FootnoteText"/>
        <w:rPr>
          <w:rFonts w:ascii="Times New Roman" w:hAnsi="Times New Roman" w:cs="Times New Roman"/>
          <w:sz w:val="22"/>
          <w:szCs w:val="22"/>
          <w:lang w:val="de-AT"/>
        </w:rPr>
      </w:pPr>
      <w:r w:rsidRPr="00E82A3F">
        <w:rPr>
          <w:rStyle w:val="FootnoteReference"/>
          <w:rFonts w:ascii="Times New Roman" w:hAnsi="Times New Roman" w:cs="Times New Roman"/>
          <w:sz w:val="22"/>
          <w:szCs w:val="22"/>
        </w:rPr>
        <w:footnoteRef/>
      </w:r>
      <w:r w:rsidRPr="00E82A3F">
        <w:rPr>
          <w:rFonts w:ascii="Times New Roman" w:hAnsi="Times New Roman" w:cs="Times New Roman"/>
          <w:sz w:val="22"/>
          <w:szCs w:val="22"/>
          <w:lang w:val="de-AT"/>
        </w:rPr>
        <w:t xml:space="preserve"> </w:t>
      </w:r>
      <w:hyperlink r:id="rId1" w:history="1">
        <w:r w:rsidR="00F26F41" w:rsidRPr="00E82A3F">
          <w:rPr>
            <w:rStyle w:val="Hyperlink"/>
            <w:rFonts w:ascii="Times New Roman" w:hAnsi="Times New Roman" w:cs="Times New Roman"/>
            <w:color w:val="auto"/>
            <w:sz w:val="22"/>
            <w:szCs w:val="22"/>
            <w:lang w:val="de-AT"/>
          </w:rPr>
          <w:t>https://www.ihk.de/heilbronn-franken/produktmarken/international/internationaler-warenverkehr/warenursprung-praeferenzen/zollbeguenstigungen-allgemeines/kuenftige-handelsabkommen-der-eu-4810920</w:t>
        </w:r>
      </w:hyperlink>
      <w:r w:rsidR="00872B93" w:rsidRPr="00E82A3F">
        <w:rPr>
          <w:rFonts w:ascii="Times New Roman" w:hAnsi="Times New Roman" w:cs="Times New Roman"/>
          <w:sz w:val="22"/>
          <w:szCs w:val="22"/>
          <w:lang w:val="de-AT"/>
        </w:rPr>
        <w:t>)</w:t>
      </w:r>
    </w:p>
  </w:footnote>
  <w:footnote w:id="4">
    <w:p w14:paraId="18E0E32A" w14:textId="5985FDE4" w:rsidR="0059586E" w:rsidRPr="00431467" w:rsidRDefault="0059586E" w:rsidP="00431467">
      <w:pPr>
        <w:shd w:val="clear" w:color="auto" w:fill="FFFFFF"/>
        <w:spacing w:after="0" w:line="240" w:lineRule="auto"/>
        <w:rPr>
          <w:rFonts w:ascii="Times New Roman" w:eastAsia="Times New Roman" w:hAnsi="Times New Roman" w:cs="Times New Roman"/>
          <w:color w:val="242424"/>
          <w:spacing w:val="3"/>
          <w:lang w:val="de-DE" w:eastAsia="en-GB"/>
        </w:rPr>
      </w:pPr>
      <w:r w:rsidRPr="00431467">
        <w:rPr>
          <w:rStyle w:val="FootnoteReference"/>
          <w:rFonts w:ascii="Times New Roman" w:hAnsi="Times New Roman" w:cs="Times New Roman"/>
        </w:rPr>
        <w:footnoteRef/>
      </w:r>
      <w:r w:rsidRPr="00431467">
        <w:rPr>
          <w:rFonts w:ascii="Times New Roman" w:hAnsi="Times New Roman" w:cs="Times New Roman"/>
          <w:lang w:val="de-DE"/>
        </w:rPr>
        <w:t xml:space="preserve"> </w:t>
      </w:r>
      <w:r w:rsidR="00F26F41" w:rsidRPr="00431467">
        <w:rPr>
          <w:rFonts w:ascii="Times New Roman" w:hAnsi="Times New Roman" w:cs="Times New Roman"/>
          <w:lang w:val="de-DE"/>
        </w:rPr>
        <w:t xml:space="preserve">Siehe hierzu die Ausführungen des BMWK zu den aktuellen Freihandelsverhandlungen unter </w:t>
      </w:r>
      <w:r w:rsidR="00F26F41" w:rsidRPr="00431467">
        <w:rPr>
          <w:rFonts w:ascii="Times New Roman" w:eastAsia="Times New Roman" w:hAnsi="Times New Roman" w:cs="Times New Roman"/>
          <w:color w:val="242424"/>
          <w:spacing w:val="3"/>
          <w:lang w:val="de-DE" w:eastAsia="en-GB"/>
        </w:rPr>
        <w:t>https://www.bmwk.de/Redaktion/DE/Artikel/Aussenwirtschaft/freihandelsabkommen-aktuelle-verhandlungen.html, zuletzt abgerufen am 27.12.2023.</w:t>
      </w:r>
    </w:p>
  </w:footnote>
  <w:footnote w:id="5">
    <w:p w14:paraId="33AC93C6" w14:textId="1B1AC7CF" w:rsidR="0059586E" w:rsidRPr="00772BD6" w:rsidRDefault="0059586E" w:rsidP="00431467">
      <w:pPr>
        <w:shd w:val="clear" w:color="auto" w:fill="FFFFFF"/>
        <w:spacing w:after="0" w:line="240" w:lineRule="auto"/>
        <w:rPr>
          <w:rFonts w:ascii="Times New Roman" w:hAnsi="Times New Roman" w:cs="Times New Roman"/>
          <w:lang w:val="de-DE"/>
        </w:rPr>
      </w:pPr>
      <w:r w:rsidRPr="00431467">
        <w:rPr>
          <w:rStyle w:val="FootnoteReference"/>
          <w:rFonts w:ascii="Times New Roman" w:hAnsi="Times New Roman" w:cs="Times New Roman"/>
        </w:rPr>
        <w:footnoteRef/>
      </w:r>
      <w:r w:rsidRPr="00431467">
        <w:rPr>
          <w:rFonts w:ascii="Times New Roman" w:hAnsi="Times New Roman" w:cs="Times New Roman"/>
          <w:lang w:val="de-DE"/>
        </w:rPr>
        <w:t xml:space="preserve"> </w:t>
      </w:r>
      <w:r w:rsidR="003B7890" w:rsidRPr="00431467">
        <w:rPr>
          <w:rFonts w:ascii="Times New Roman" w:hAnsi="Times New Roman" w:cs="Times New Roman"/>
          <w:lang w:val="de-DE"/>
        </w:rPr>
        <w:t xml:space="preserve">COM(2015) 0497 final; </w:t>
      </w:r>
      <w:r w:rsidR="003B7890" w:rsidRPr="00431467">
        <w:rPr>
          <w:rFonts w:ascii="Times New Roman" w:eastAsia="Times New Roman" w:hAnsi="Times New Roman" w:cs="Times New Roman"/>
          <w:color w:val="242424"/>
          <w:spacing w:val="3"/>
          <w:lang w:val="de-DE" w:eastAsia="en-GB"/>
        </w:rPr>
        <w:t>s</w:t>
      </w:r>
      <w:r w:rsidRPr="00431467">
        <w:rPr>
          <w:rFonts w:ascii="Times New Roman" w:eastAsia="Times New Roman" w:hAnsi="Times New Roman" w:cs="Times New Roman"/>
          <w:color w:val="242424"/>
          <w:spacing w:val="3"/>
          <w:lang w:val="de-DE" w:eastAsia="en-GB"/>
        </w:rPr>
        <w:t xml:space="preserve">iehe </w:t>
      </w:r>
      <w:r w:rsidR="003B7890" w:rsidRPr="00431467">
        <w:rPr>
          <w:rFonts w:ascii="Times New Roman" w:eastAsia="Times New Roman" w:hAnsi="Times New Roman" w:cs="Times New Roman"/>
          <w:color w:val="242424"/>
          <w:spacing w:val="3"/>
          <w:lang w:val="de-DE" w:eastAsia="en-GB"/>
        </w:rPr>
        <w:t xml:space="preserve">dazu auch die Pressemitteilung der Europäischen Kommission zur neuen Handels- und Investitionsstrategie abrufbar unter </w:t>
      </w:r>
      <w:r w:rsidR="0062080D" w:rsidRPr="00431467">
        <w:rPr>
          <w:rFonts w:ascii="Times New Roman" w:eastAsia="Times New Roman" w:hAnsi="Times New Roman" w:cs="Times New Roman"/>
          <w:color w:val="242424"/>
          <w:spacing w:val="3"/>
          <w:lang w:val="de-DE" w:eastAsia="en-GB"/>
        </w:rPr>
        <w:t>https://ec.europa.eu/commission/presscorner/detail/de/IP_15_5, zuletzt abgerufen am 27.12.2023.</w:t>
      </w:r>
      <w:r w:rsidR="0062080D">
        <w:rPr>
          <w:rFonts w:ascii="Times New Roman" w:eastAsia="Times New Roman" w:hAnsi="Times New Roman" w:cs="Times New Roman"/>
          <w:color w:val="242424"/>
          <w:spacing w:val="3"/>
          <w:lang w:val="de-DE" w:eastAsia="en-GB"/>
        </w:rPr>
        <w:t xml:space="preserve"> </w:t>
      </w:r>
    </w:p>
  </w:footnote>
  <w:footnote w:id="6">
    <w:p w14:paraId="74E0CBEF" w14:textId="51DAA5A7" w:rsidR="0070020B" w:rsidRPr="0070020B" w:rsidRDefault="0070020B">
      <w:pPr>
        <w:pStyle w:val="FootnoteText"/>
        <w:rPr>
          <w:rFonts w:ascii="Times New Roman" w:hAnsi="Times New Roman" w:cs="Times New Roman"/>
          <w:sz w:val="22"/>
          <w:szCs w:val="22"/>
          <w:lang w:val="de-DE"/>
        </w:rPr>
      </w:pPr>
      <w:r>
        <w:rPr>
          <w:rStyle w:val="FootnoteReference"/>
        </w:rPr>
        <w:footnoteRef/>
      </w:r>
      <w:r w:rsidRPr="0070020B">
        <w:rPr>
          <w:lang w:val="de-DE"/>
        </w:rPr>
        <w:t xml:space="preserve"> </w:t>
      </w:r>
      <w:r w:rsidRPr="0070020B">
        <w:rPr>
          <w:rFonts w:ascii="Times New Roman" w:hAnsi="Times New Roman" w:cs="Times New Roman"/>
          <w:sz w:val="22"/>
          <w:szCs w:val="22"/>
          <w:lang w:val="de-DE"/>
        </w:rPr>
        <w:t>https://circabc.europa.eu/ui/group/8a31feb6-d901-421f-a607-ebbdd7d59ca0/library/8c5821b3-2b18-43a1-b791-2df56b673900/details</w:t>
      </w:r>
    </w:p>
  </w:footnote>
  <w:footnote w:id="7">
    <w:p w14:paraId="4BA30E9E" w14:textId="60CBB481" w:rsidR="0059586E" w:rsidRPr="00245A48" w:rsidRDefault="0059586E" w:rsidP="00613621">
      <w:pPr>
        <w:pStyle w:val="FootnoteText"/>
        <w:rPr>
          <w:rFonts w:ascii="Times New Roman" w:hAnsi="Times New Roman" w:cs="Times New Roman"/>
          <w:sz w:val="22"/>
          <w:szCs w:val="22"/>
          <w:lang w:val="de-DE"/>
        </w:rPr>
      </w:pPr>
      <w:r w:rsidRPr="00431467">
        <w:rPr>
          <w:rStyle w:val="FootnoteReference"/>
          <w:rFonts w:ascii="Times New Roman" w:hAnsi="Times New Roman" w:cs="Times New Roman"/>
          <w:sz w:val="22"/>
          <w:szCs w:val="22"/>
        </w:rPr>
        <w:footnoteRef/>
      </w:r>
      <w:r w:rsidRPr="00431467">
        <w:rPr>
          <w:rFonts w:ascii="Times New Roman" w:hAnsi="Times New Roman" w:cs="Times New Roman"/>
          <w:sz w:val="22"/>
          <w:szCs w:val="22"/>
          <w:lang w:val="de-DE"/>
        </w:rPr>
        <w:t xml:space="preserve"> </w:t>
      </w:r>
      <w:r w:rsidRPr="00431467">
        <w:rPr>
          <w:rFonts w:ascii="Times New Roman" w:hAnsi="Times New Roman" w:cs="Times New Roman"/>
          <w:i/>
          <w:iCs/>
          <w:sz w:val="22"/>
          <w:szCs w:val="22"/>
          <w:lang w:val="de-DE"/>
        </w:rPr>
        <w:t>EuGH</w:t>
      </w:r>
      <w:r w:rsidRPr="00431467">
        <w:rPr>
          <w:rFonts w:ascii="Times New Roman" w:hAnsi="Times New Roman" w:cs="Times New Roman"/>
          <w:sz w:val="22"/>
          <w:szCs w:val="22"/>
          <w:lang w:val="de-DE"/>
        </w:rPr>
        <w:t xml:space="preserve">, </w:t>
      </w:r>
      <w:r w:rsidR="00245A48" w:rsidRPr="00431467">
        <w:rPr>
          <w:rFonts w:ascii="Times New Roman" w:hAnsi="Times New Roman" w:cs="Times New Roman"/>
          <w:sz w:val="22"/>
          <w:szCs w:val="22"/>
          <w:lang w:val="de-DE"/>
        </w:rPr>
        <w:t xml:space="preserve">Gutachten v. </w:t>
      </w:r>
      <w:r w:rsidRPr="00431467">
        <w:rPr>
          <w:rFonts w:ascii="Times New Roman" w:hAnsi="Times New Roman" w:cs="Times New Roman"/>
          <w:sz w:val="22"/>
          <w:szCs w:val="22"/>
          <w:lang w:val="de-DE"/>
        </w:rPr>
        <w:t>16.05.2017 - 2/15</w:t>
      </w:r>
      <w:r w:rsidR="00245A48" w:rsidRPr="00431467">
        <w:rPr>
          <w:rFonts w:ascii="Times New Roman" w:hAnsi="Times New Roman" w:cs="Times New Roman"/>
          <w:sz w:val="22"/>
          <w:szCs w:val="22"/>
          <w:lang w:val="de-DE"/>
        </w:rPr>
        <w:t>,</w:t>
      </w:r>
      <w:r w:rsidRPr="00431467">
        <w:rPr>
          <w:rFonts w:ascii="Times New Roman" w:hAnsi="Times New Roman" w:cs="Times New Roman"/>
          <w:sz w:val="22"/>
          <w:szCs w:val="22"/>
          <w:lang w:val="de-DE"/>
        </w:rPr>
        <w:t xml:space="preserve"> </w:t>
      </w:r>
      <w:r w:rsidR="00245A48" w:rsidRPr="00431467">
        <w:rPr>
          <w:rFonts w:ascii="Times New Roman" w:hAnsi="Times New Roman" w:cs="Times New Roman"/>
          <w:sz w:val="22"/>
          <w:szCs w:val="22"/>
          <w:lang w:val="de-DE"/>
        </w:rPr>
        <w:t xml:space="preserve">ECLI:EU:C:2017:376 - </w:t>
      </w:r>
      <w:r w:rsidRPr="00431467">
        <w:rPr>
          <w:rFonts w:ascii="Times New Roman" w:hAnsi="Times New Roman" w:cs="Times New Roman"/>
          <w:sz w:val="22"/>
          <w:szCs w:val="22"/>
          <w:lang w:val="de-DE"/>
        </w:rPr>
        <w:t>Freihandelsabkommen zwischen der Europäischen Union und der Republik Singapur</w:t>
      </w:r>
      <w:r w:rsidR="00245A48" w:rsidRPr="00431467">
        <w:rPr>
          <w:rFonts w:ascii="Times New Roman" w:hAnsi="Times New Roman" w:cs="Times New Roman"/>
          <w:sz w:val="22"/>
          <w:szCs w:val="22"/>
          <w:lang w:val="de-DE"/>
        </w:rPr>
        <w:t>.</w:t>
      </w:r>
    </w:p>
  </w:footnote>
  <w:footnote w:id="8">
    <w:p w14:paraId="11678C65" w14:textId="4B1A51E6" w:rsidR="00FE7DCE" w:rsidRPr="00FE7DCE" w:rsidRDefault="00FE7DCE">
      <w:pPr>
        <w:pStyle w:val="FootnoteText"/>
        <w:rPr>
          <w:lang w:val="de-DE"/>
        </w:rPr>
      </w:pPr>
      <w:r>
        <w:rPr>
          <w:rStyle w:val="FootnoteReference"/>
        </w:rPr>
        <w:footnoteRef/>
      </w:r>
      <w:r w:rsidRPr="00FE7DCE">
        <w:rPr>
          <w:lang w:val="de-DE"/>
        </w:rPr>
        <w:t xml:space="preserve"> </w:t>
      </w:r>
      <w:r w:rsidRPr="00FE7DCE">
        <w:rPr>
          <w:rFonts w:ascii="Times New Roman" w:hAnsi="Times New Roman" w:cs="Times New Roman"/>
          <w:sz w:val="22"/>
          <w:szCs w:val="22"/>
          <w:lang w:val="de-DE"/>
        </w:rPr>
        <w:t>Portfolioinvestitionen sind Investitionen, die getätigt werden, ohne dass eine Einflussnahme auf die Verwaltung und Kontrolle eines Unternehmens beabsichtigt wird</w:t>
      </w:r>
      <w:r>
        <w:rPr>
          <w:rFonts w:ascii="Times New Roman" w:hAnsi="Times New Roman" w:cs="Times New Roman"/>
          <w:sz w:val="22"/>
          <w:szCs w:val="22"/>
          <w:lang w:val="de-DE"/>
        </w:rPr>
        <w:t>.</w:t>
      </w:r>
    </w:p>
  </w:footnote>
  <w:footnote w:id="9">
    <w:p w14:paraId="1C648071" w14:textId="16E9C65F" w:rsidR="0059586E" w:rsidRPr="00431467" w:rsidRDefault="0059586E" w:rsidP="00245A48">
      <w:pPr>
        <w:shd w:val="clear" w:color="auto" w:fill="FFFFFF"/>
        <w:spacing w:after="0" w:afterAutospacing="1" w:line="240" w:lineRule="auto"/>
        <w:rPr>
          <w:rFonts w:ascii="Times New Roman" w:eastAsia="Times New Roman" w:hAnsi="Times New Roman" w:cs="Times New Roman"/>
          <w:color w:val="242424"/>
          <w:spacing w:val="3"/>
          <w:lang w:val="de-DE" w:eastAsia="en-GB"/>
        </w:rPr>
      </w:pPr>
      <w:r w:rsidRPr="00431467">
        <w:rPr>
          <w:rStyle w:val="FootnoteReference"/>
          <w:rFonts w:ascii="Times New Roman" w:hAnsi="Times New Roman" w:cs="Times New Roman"/>
        </w:rPr>
        <w:footnoteRef/>
      </w:r>
      <w:r w:rsidRPr="00431467">
        <w:rPr>
          <w:rFonts w:ascii="Times New Roman" w:hAnsi="Times New Roman" w:cs="Times New Roman"/>
          <w:lang w:val="de-DE"/>
        </w:rPr>
        <w:t xml:space="preserve"> </w:t>
      </w:r>
      <w:r w:rsidR="00245A48" w:rsidRPr="00431467">
        <w:rPr>
          <w:rFonts w:ascii="Times New Roman" w:hAnsi="Times New Roman" w:cs="Times New Roman"/>
          <w:i/>
          <w:iCs/>
          <w:lang w:val="de-DE"/>
        </w:rPr>
        <w:t>EuGH</w:t>
      </w:r>
      <w:r w:rsidR="00245A48" w:rsidRPr="00431467">
        <w:rPr>
          <w:rFonts w:ascii="Times New Roman" w:hAnsi="Times New Roman" w:cs="Times New Roman"/>
          <w:lang w:val="de-DE"/>
        </w:rPr>
        <w:t>, Gutachten v. 16.05.2017 - 2/15, ECLI:EU:C:2017:376 - Freihandelsabkommen zwischen der Europäischen Union und der Republik Singapur.</w:t>
      </w:r>
    </w:p>
  </w:footnote>
  <w:footnote w:id="10">
    <w:p w14:paraId="583CDB23" w14:textId="04377EC1" w:rsidR="00014056" w:rsidRPr="00014056" w:rsidRDefault="00014056">
      <w:pPr>
        <w:pStyle w:val="FootnoteText"/>
        <w:rPr>
          <w:lang w:val="de-DE"/>
        </w:rPr>
      </w:pPr>
      <w:r>
        <w:rPr>
          <w:rStyle w:val="FootnoteReference"/>
        </w:rPr>
        <w:footnoteRef/>
      </w:r>
      <w:r w:rsidRPr="00014056">
        <w:rPr>
          <w:lang w:val="de-DE"/>
        </w:rPr>
        <w:t xml:space="preserve">   </w:t>
      </w:r>
      <w:r w:rsidRPr="00014056">
        <w:rPr>
          <w:rFonts w:ascii="Times New Roman" w:hAnsi="Times New Roman" w:cs="Times New Roman"/>
          <w:sz w:val="22"/>
          <w:szCs w:val="22"/>
          <w:lang w:val="de-DE"/>
        </w:rPr>
        <w:t>Siehe dazu auch unter https://www.consilium.europa.eu/de/meetings/fac/2018/05/22/trade/, zuletzt abgerufen am 27.12.2023</w:t>
      </w:r>
    </w:p>
  </w:footnote>
  <w:footnote w:id="11">
    <w:p w14:paraId="3CCBDD89" w14:textId="4AC7D672" w:rsidR="00F767A3" w:rsidRPr="00905D01" w:rsidRDefault="00F767A3">
      <w:pPr>
        <w:pStyle w:val="FootnoteText"/>
        <w:rPr>
          <w:rFonts w:ascii="Times New Roman" w:hAnsi="Times New Roman" w:cs="Times New Roman"/>
          <w:sz w:val="22"/>
          <w:szCs w:val="22"/>
          <w:lang w:val="de-DE"/>
        </w:rPr>
      </w:pPr>
      <w:r w:rsidRPr="00905D01">
        <w:rPr>
          <w:rStyle w:val="FootnoteReference"/>
          <w:rFonts w:ascii="Times New Roman" w:hAnsi="Times New Roman" w:cs="Times New Roman"/>
          <w:sz w:val="22"/>
          <w:szCs w:val="22"/>
        </w:rPr>
        <w:footnoteRef/>
      </w:r>
      <w:r w:rsidRPr="00905D01">
        <w:rPr>
          <w:rFonts w:ascii="Times New Roman" w:hAnsi="Times New Roman" w:cs="Times New Roman"/>
          <w:sz w:val="22"/>
          <w:szCs w:val="22"/>
          <w:lang w:val="pt-PT"/>
        </w:rPr>
        <w:t xml:space="preserve"> </w:t>
      </w:r>
      <w:proofErr w:type="spellStart"/>
      <w:r w:rsidR="00A26AFD" w:rsidRPr="00905D01">
        <w:rPr>
          <w:rFonts w:ascii="Times New Roman" w:hAnsi="Times New Roman" w:cs="Times New Roman"/>
          <w:i/>
          <w:iCs/>
          <w:sz w:val="22"/>
          <w:szCs w:val="22"/>
          <w:lang w:val="pt-PT"/>
        </w:rPr>
        <w:t>EuGH</w:t>
      </w:r>
      <w:proofErr w:type="spellEnd"/>
      <w:r w:rsidR="00A26AFD" w:rsidRPr="00905D01">
        <w:rPr>
          <w:rFonts w:ascii="Times New Roman" w:hAnsi="Times New Roman" w:cs="Times New Roman"/>
          <w:sz w:val="22"/>
          <w:szCs w:val="22"/>
          <w:lang w:val="pt-PT"/>
        </w:rPr>
        <w:t xml:space="preserve">, ECLI:EU:C:2019:341 = </w:t>
      </w:r>
      <w:proofErr w:type="spellStart"/>
      <w:r w:rsidR="00A26AFD" w:rsidRPr="00905D01">
        <w:rPr>
          <w:rFonts w:ascii="Times New Roman" w:hAnsi="Times New Roman" w:cs="Times New Roman"/>
          <w:sz w:val="22"/>
          <w:szCs w:val="22"/>
          <w:lang w:val="pt-PT"/>
        </w:rPr>
        <w:t>NVwZ</w:t>
      </w:r>
      <w:proofErr w:type="spellEnd"/>
      <w:r w:rsidR="00A26AFD" w:rsidRPr="00905D01">
        <w:rPr>
          <w:rFonts w:ascii="Times New Roman" w:hAnsi="Times New Roman" w:cs="Times New Roman"/>
          <w:sz w:val="22"/>
          <w:szCs w:val="22"/>
          <w:lang w:val="pt-PT"/>
        </w:rPr>
        <w:t xml:space="preserve"> 2019,868 </w:t>
      </w:r>
      <w:r w:rsidR="00106774" w:rsidRPr="00905D01">
        <w:rPr>
          <w:rFonts w:ascii="Times New Roman" w:hAnsi="Times New Roman" w:cs="Times New Roman"/>
          <w:sz w:val="22"/>
          <w:szCs w:val="22"/>
          <w:lang w:val="pt-PT"/>
        </w:rPr>
        <w:t>–</w:t>
      </w:r>
      <w:r w:rsidR="00A26AFD" w:rsidRPr="00905D01">
        <w:rPr>
          <w:rFonts w:ascii="Times New Roman" w:hAnsi="Times New Roman" w:cs="Times New Roman"/>
          <w:sz w:val="22"/>
          <w:szCs w:val="22"/>
          <w:lang w:val="pt-PT"/>
        </w:rPr>
        <w:t xml:space="preserve"> </w:t>
      </w:r>
      <w:r w:rsidR="00106774" w:rsidRPr="00905D01">
        <w:rPr>
          <w:rFonts w:ascii="Times New Roman" w:hAnsi="Times New Roman" w:cs="Times New Roman"/>
          <w:sz w:val="22"/>
          <w:szCs w:val="22"/>
          <w:lang w:val="pt-PT"/>
        </w:rPr>
        <w:t xml:space="preserve">CETA. </w:t>
      </w:r>
      <w:r w:rsidR="00925A40" w:rsidRPr="00905D01">
        <w:rPr>
          <w:rStyle w:val="Emphasis"/>
          <w:rFonts w:ascii="Times New Roman" w:hAnsi="Times New Roman" w:cs="Times New Roman"/>
          <w:i w:val="0"/>
          <w:iCs w:val="0"/>
          <w:sz w:val="22"/>
          <w:szCs w:val="22"/>
          <w:shd w:val="clear" w:color="auto" w:fill="FFFFFF"/>
          <w:lang w:val="de-DE"/>
        </w:rPr>
        <w:t>Der in dem Freihandelsabkommen zwischen der Europäischen Union und Kanada vorgesehene Mechanismus zur Beilegung von Streitigkeiten zwischen Investoren und Staaten ist mit dem Unionsrecht vereinbar</w:t>
      </w:r>
      <w:r w:rsidR="00106774" w:rsidRPr="00905D01">
        <w:rPr>
          <w:rStyle w:val="Emphasis"/>
          <w:rFonts w:ascii="Times New Roman" w:hAnsi="Times New Roman" w:cs="Times New Roman"/>
          <w:i w:val="0"/>
          <w:iCs w:val="0"/>
          <w:sz w:val="22"/>
          <w:szCs w:val="22"/>
          <w:shd w:val="clear" w:color="auto" w:fill="FFFFFF"/>
          <w:lang w:val="de-DE"/>
        </w:rPr>
        <w:t>.</w:t>
      </w:r>
    </w:p>
  </w:footnote>
  <w:footnote w:id="12">
    <w:p w14:paraId="0AD31DF1" w14:textId="12098B00" w:rsidR="00D02310" w:rsidRPr="00D02310" w:rsidRDefault="00D02310">
      <w:pPr>
        <w:pStyle w:val="FootnoteText"/>
        <w:rPr>
          <w:lang w:val="de-DE"/>
        </w:rPr>
      </w:pPr>
      <w:r>
        <w:rPr>
          <w:rStyle w:val="FootnoteReference"/>
        </w:rPr>
        <w:footnoteRef/>
      </w:r>
      <w:r w:rsidRPr="00D02310">
        <w:rPr>
          <w:lang w:val="de-DE"/>
        </w:rPr>
        <w:t xml:space="preserve"> </w:t>
      </w:r>
      <w:r w:rsidRPr="00D02310">
        <w:rPr>
          <w:rFonts w:ascii="Times New Roman" w:hAnsi="Times New Roman" w:cs="Times New Roman"/>
          <w:sz w:val="22"/>
          <w:szCs w:val="22"/>
          <w:lang w:val="de-DE"/>
        </w:rPr>
        <w:t xml:space="preserve">Sie weiter dazu in </w:t>
      </w:r>
      <w:r w:rsidRPr="00D02310">
        <w:rPr>
          <w:rFonts w:ascii="Times New Roman" w:hAnsi="Times New Roman" w:cs="Times New Roman"/>
          <w:sz w:val="22"/>
          <w:szCs w:val="22"/>
          <w:lang w:val="de-DE"/>
        </w:rPr>
        <w:t>https://curia.europa.eu/juris/document/document.jsf?docid=213502&amp;doclang=DE</w:t>
      </w:r>
    </w:p>
  </w:footnote>
  <w:footnote w:id="13">
    <w:p w14:paraId="4C03EABB" w14:textId="77777777" w:rsidR="00605194" w:rsidRPr="00905D01" w:rsidRDefault="00605194" w:rsidP="00605194">
      <w:pPr>
        <w:pStyle w:val="FootnoteText"/>
        <w:rPr>
          <w:rFonts w:ascii="Times New Roman" w:hAnsi="Times New Roman" w:cs="Times New Roman"/>
          <w:sz w:val="22"/>
          <w:szCs w:val="22"/>
          <w:lang w:val="de-DE"/>
        </w:rPr>
      </w:pPr>
      <w:r w:rsidRPr="00905D01">
        <w:rPr>
          <w:rStyle w:val="FootnoteReference"/>
          <w:rFonts w:ascii="Times New Roman" w:hAnsi="Times New Roman" w:cs="Times New Roman"/>
          <w:sz w:val="22"/>
          <w:szCs w:val="22"/>
        </w:rPr>
        <w:footnoteRef/>
      </w:r>
      <w:r w:rsidRPr="00905D01">
        <w:rPr>
          <w:rFonts w:ascii="Times New Roman" w:hAnsi="Times New Roman" w:cs="Times New Roman"/>
          <w:sz w:val="22"/>
          <w:szCs w:val="22"/>
          <w:lang w:val="de-DE"/>
        </w:rPr>
        <w:t xml:space="preserve"> </w:t>
      </w:r>
      <w:r w:rsidRPr="00905D01">
        <w:rPr>
          <w:rFonts w:ascii="Times New Roman" w:hAnsi="Times New Roman" w:cs="Times New Roman"/>
          <w:i/>
          <w:iCs/>
          <w:sz w:val="22"/>
          <w:szCs w:val="22"/>
          <w:lang w:val="de-DE"/>
        </w:rPr>
        <w:t>BGH</w:t>
      </w:r>
      <w:r w:rsidRPr="00905D01">
        <w:rPr>
          <w:rFonts w:ascii="Times New Roman" w:hAnsi="Times New Roman" w:cs="Times New Roman"/>
          <w:sz w:val="22"/>
          <w:szCs w:val="22"/>
          <w:lang w:val="de-DE"/>
        </w:rPr>
        <w:t xml:space="preserve">, Beschluss vom 09.02.2002 - 2 BvR 1368/16, 2 </w:t>
      </w:r>
      <w:proofErr w:type="spellStart"/>
      <w:r w:rsidRPr="00905D01">
        <w:rPr>
          <w:rFonts w:ascii="Times New Roman" w:hAnsi="Times New Roman" w:cs="Times New Roman"/>
          <w:sz w:val="22"/>
          <w:szCs w:val="22"/>
          <w:lang w:val="de-DE"/>
        </w:rPr>
        <w:t>BvE</w:t>
      </w:r>
      <w:proofErr w:type="spellEnd"/>
      <w:r w:rsidRPr="00905D01">
        <w:rPr>
          <w:rFonts w:ascii="Times New Roman" w:hAnsi="Times New Roman" w:cs="Times New Roman"/>
          <w:sz w:val="22"/>
          <w:szCs w:val="22"/>
          <w:lang w:val="de-DE"/>
        </w:rPr>
        <w:t xml:space="preserve"> 3/16, 2 BvR 1823/16, 2 BvR 1482/16, 2 BvR 1444/16. Verfassungsbeschwerden und Organstreitverfahren gegen die vorläufige Anwendung des Freihandelsabkommens CETA </w:t>
      </w:r>
      <w:r w:rsidRPr="00E82A3F">
        <w:rPr>
          <w:rFonts w:ascii="Times New Roman" w:hAnsi="Times New Roman" w:cs="Times New Roman"/>
          <w:sz w:val="22"/>
          <w:szCs w:val="22"/>
          <w:lang w:val="de-DE"/>
        </w:rPr>
        <w:t>waren</w:t>
      </w:r>
      <w:r w:rsidRPr="00905D01">
        <w:rPr>
          <w:rFonts w:ascii="Times New Roman" w:hAnsi="Times New Roman" w:cs="Times New Roman"/>
          <w:sz w:val="22"/>
          <w:szCs w:val="22"/>
          <w:lang w:val="de-DE"/>
        </w:rPr>
        <w:t xml:space="preserve"> erfolglos. Mit dem Beschluss hat der Zweite Senat des Bundesverfassungsgerichts mehrere Verfassungsbeschwerden und einen Antrag im Organstreitverfahren zur vorläufigen Anwendung des Freihandelsabkommens zwischen der Europäischen Union und ihren Mitgliedstaaten einerseits und Kanada andererseits als unbegründet zurückgewiesen. Soweit sich die Verfassungsbeschwerden und die Organklage darüber hinaus gegen die Unterzeichnung und den Abschluss von CETA wandten, hat der Senat sie als unzulässig verworfen.</w:t>
      </w:r>
    </w:p>
  </w:footnote>
  <w:footnote w:id="14">
    <w:p w14:paraId="2A34305E" w14:textId="38F25C23" w:rsidR="00904AD3" w:rsidRPr="00905D01" w:rsidRDefault="00904AD3">
      <w:pPr>
        <w:pStyle w:val="FootnoteText"/>
        <w:rPr>
          <w:rFonts w:ascii="Times New Roman" w:hAnsi="Times New Roman" w:cs="Times New Roman"/>
          <w:sz w:val="22"/>
          <w:szCs w:val="22"/>
          <w:lang w:val="de-DE"/>
        </w:rPr>
      </w:pPr>
      <w:r w:rsidRPr="00905D01">
        <w:rPr>
          <w:rStyle w:val="FootnoteReference"/>
          <w:rFonts w:ascii="Times New Roman" w:hAnsi="Times New Roman" w:cs="Times New Roman"/>
          <w:sz w:val="22"/>
          <w:szCs w:val="22"/>
        </w:rPr>
        <w:footnoteRef/>
      </w:r>
      <w:r w:rsidRPr="00905D01">
        <w:rPr>
          <w:rFonts w:ascii="Times New Roman" w:hAnsi="Times New Roman" w:cs="Times New Roman"/>
          <w:sz w:val="22"/>
          <w:szCs w:val="22"/>
          <w:lang w:val="de-DE"/>
        </w:rPr>
        <w:t xml:space="preserve"> </w:t>
      </w:r>
      <w:r w:rsidR="00E82446" w:rsidRPr="00905D01">
        <w:rPr>
          <w:rFonts w:ascii="Times New Roman" w:hAnsi="Times New Roman" w:cs="Times New Roman"/>
          <w:sz w:val="22"/>
          <w:szCs w:val="22"/>
          <w:lang w:val="de-DE"/>
        </w:rPr>
        <w:t xml:space="preserve">Siehe hierzu eine </w:t>
      </w:r>
      <w:r w:rsidRPr="00905D01">
        <w:rPr>
          <w:rFonts w:ascii="Times New Roman" w:hAnsi="Times New Roman" w:cs="Times New Roman"/>
          <w:sz w:val="22"/>
          <w:szCs w:val="22"/>
          <w:lang w:val="de-DE"/>
        </w:rPr>
        <w:t>Zusammenfassung der wesentlichen Kritikpunkte</w:t>
      </w:r>
      <w:r w:rsidR="00E82446" w:rsidRPr="00905D01">
        <w:rPr>
          <w:rFonts w:ascii="Times New Roman" w:hAnsi="Times New Roman" w:cs="Times New Roman"/>
          <w:sz w:val="22"/>
          <w:szCs w:val="22"/>
          <w:lang w:val="de-DE"/>
        </w:rPr>
        <w:t xml:space="preserve"> abrufbar unter</w:t>
      </w:r>
      <w:r w:rsidRPr="00905D01">
        <w:rPr>
          <w:rFonts w:ascii="Times New Roman" w:hAnsi="Times New Roman" w:cs="Times New Roman"/>
          <w:sz w:val="22"/>
          <w:szCs w:val="22"/>
          <w:lang w:val="de-DE"/>
        </w:rPr>
        <w:t xml:space="preserve"> </w:t>
      </w:r>
      <w:r w:rsidR="00E82446" w:rsidRPr="00905D01">
        <w:rPr>
          <w:rFonts w:ascii="Times New Roman" w:hAnsi="Times New Roman" w:cs="Times New Roman"/>
          <w:sz w:val="22"/>
          <w:szCs w:val="22"/>
          <w:lang w:val="de-DE"/>
        </w:rPr>
        <w:t>https://www.mehr-demokratie.de/fileadmin/pdf/Hintergrundpapier_zur_CETA-Klage.pdf, zuletzt abgerufen am 27.12.2023.</w:t>
      </w:r>
    </w:p>
  </w:footnote>
  <w:footnote w:id="15">
    <w:p w14:paraId="27F47F0B" w14:textId="4633AC7D" w:rsidR="00904AD3" w:rsidRPr="00C370DB" w:rsidRDefault="00904AD3">
      <w:pPr>
        <w:pStyle w:val="FootnoteText"/>
        <w:rPr>
          <w:lang w:val="de-DE"/>
        </w:rPr>
      </w:pPr>
      <w:r w:rsidRPr="00905D01">
        <w:rPr>
          <w:rStyle w:val="FootnoteReference"/>
          <w:rFonts w:ascii="Times New Roman" w:hAnsi="Times New Roman" w:cs="Times New Roman"/>
          <w:sz w:val="22"/>
          <w:szCs w:val="22"/>
        </w:rPr>
        <w:footnoteRef/>
      </w:r>
      <w:r w:rsidRPr="00905D01">
        <w:rPr>
          <w:rFonts w:ascii="Times New Roman" w:hAnsi="Times New Roman" w:cs="Times New Roman"/>
          <w:sz w:val="22"/>
          <w:szCs w:val="22"/>
          <w:lang w:val="de-AT"/>
        </w:rPr>
        <w:t xml:space="preserve"> </w:t>
      </w:r>
      <w:r w:rsidR="00E82446" w:rsidRPr="00905D01">
        <w:rPr>
          <w:rFonts w:ascii="Times New Roman" w:hAnsi="Times New Roman" w:cs="Times New Roman"/>
          <w:i/>
          <w:iCs/>
          <w:sz w:val="22"/>
          <w:szCs w:val="22"/>
          <w:lang w:val="de-DE"/>
        </w:rPr>
        <w:t>BGH</w:t>
      </w:r>
      <w:r w:rsidR="00E82446" w:rsidRPr="00905D01">
        <w:rPr>
          <w:rFonts w:ascii="Times New Roman" w:hAnsi="Times New Roman" w:cs="Times New Roman"/>
          <w:sz w:val="22"/>
          <w:szCs w:val="22"/>
          <w:lang w:val="de-DE"/>
        </w:rPr>
        <w:t xml:space="preserve">, Beschluss vom 09.02.2002 - 2 BvR 1368/16, 2 </w:t>
      </w:r>
      <w:proofErr w:type="spellStart"/>
      <w:r w:rsidR="00E82446" w:rsidRPr="00905D01">
        <w:rPr>
          <w:rFonts w:ascii="Times New Roman" w:hAnsi="Times New Roman" w:cs="Times New Roman"/>
          <w:sz w:val="22"/>
          <w:szCs w:val="22"/>
          <w:lang w:val="de-DE"/>
        </w:rPr>
        <w:t>BvE</w:t>
      </w:r>
      <w:proofErr w:type="spellEnd"/>
      <w:r w:rsidR="00E82446" w:rsidRPr="00905D01">
        <w:rPr>
          <w:rFonts w:ascii="Times New Roman" w:hAnsi="Times New Roman" w:cs="Times New Roman"/>
          <w:sz w:val="22"/>
          <w:szCs w:val="22"/>
          <w:lang w:val="de-DE"/>
        </w:rPr>
        <w:t xml:space="preserve"> 3/16, 2 BvR 1823/16, 2 BvR 1482/16, 2 BvR 1444/16.</w:t>
      </w:r>
      <w:r w:rsidR="00E82446" w:rsidRPr="00E82446">
        <w:rPr>
          <w:rFonts w:ascii="Times New Roman" w:hAnsi="Times New Roman" w:cs="Times New Roman"/>
          <w:sz w:val="22"/>
          <w:szCs w:val="22"/>
          <w:lang w:val="de-DE"/>
        </w:rPr>
        <w:t xml:space="preserve"> </w:t>
      </w:r>
    </w:p>
  </w:footnote>
  <w:footnote w:id="16">
    <w:p w14:paraId="62559E2F" w14:textId="77777777" w:rsidR="00BA5903" w:rsidRDefault="00BA5903" w:rsidP="00BA5903">
      <w:pPr>
        <w:pStyle w:val="FootnoteText"/>
        <w:rPr>
          <w:rFonts w:ascii="Times New Roman" w:hAnsi="Times New Roman" w:cs="Times New Roman"/>
          <w:sz w:val="22"/>
          <w:szCs w:val="22"/>
          <w:lang w:val="de-AT"/>
        </w:rPr>
      </w:pPr>
      <w:r>
        <w:rPr>
          <w:rFonts w:ascii="Times New Roman" w:hAnsi="Times New Roman" w:cs="Times New Roman"/>
          <w:sz w:val="22"/>
          <w:szCs w:val="22"/>
          <w:lang w:val="de-AT"/>
        </w:rPr>
        <w:footnoteRef/>
      </w:r>
      <w:r>
        <w:rPr>
          <w:rFonts w:ascii="Times New Roman" w:hAnsi="Times New Roman" w:cs="Times New Roman"/>
          <w:sz w:val="22"/>
          <w:szCs w:val="22"/>
          <w:lang w:val="de-AT"/>
        </w:rPr>
        <w:t xml:space="preserve"> https://eur-lex.europa.eu/content/news/eu_canada_trade_agreement-ceta.html?locale=de</w:t>
      </w:r>
    </w:p>
  </w:footnote>
  <w:footnote w:id="17">
    <w:p w14:paraId="48601818" w14:textId="77777777" w:rsidR="0085547A" w:rsidRDefault="0085547A" w:rsidP="0085547A">
      <w:pPr>
        <w:pStyle w:val="FootnoteText"/>
        <w:rPr>
          <w:rFonts w:ascii="Times New Roman" w:hAnsi="Times New Roman" w:cs="Times New Roman"/>
          <w:sz w:val="22"/>
          <w:szCs w:val="22"/>
          <w:lang w:val="de-AT"/>
        </w:rPr>
      </w:pPr>
      <w:r>
        <w:rPr>
          <w:rFonts w:ascii="Times New Roman" w:hAnsi="Times New Roman" w:cs="Times New Roman"/>
          <w:sz w:val="22"/>
          <w:szCs w:val="22"/>
          <w:lang w:val="de-AT"/>
        </w:rPr>
        <w:footnoteRef/>
      </w:r>
      <w:r>
        <w:rPr>
          <w:rFonts w:ascii="Times New Roman" w:hAnsi="Times New Roman" w:cs="Times New Roman"/>
          <w:sz w:val="22"/>
          <w:szCs w:val="22"/>
          <w:lang w:val="de-AT"/>
        </w:rPr>
        <w:t xml:space="preserve"> Siehe etwa </w:t>
      </w:r>
      <w:hyperlink r:id="rId2" w:history="1">
        <w:r w:rsidRPr="00247CE9">
          <w:rPr>
            <w:rFonts w:ascii="Times New Roman" w:hAnsi="Times New Roman" w:cs="Times New Roman"/>
            <w:sz w:val="22"/>
            <w:szCs w:val="22"/>
            <w:lang w:val="de-DE"/>
          </w:rPr>
          <w:t>https://www.bmi.gv.at/411/Volksbegehren_der_XX_Gesetzgebungsperiode/CETA_Volksabstimmung/start.asp</w:t>
        </w:r>
      </w:hyperlink>
    </w:p>
    <w:p w14:paraId="29891CFF" w14:textId="77777777" w:rsidR="0085547A" w:rsidRDefault="0085547A" w:rsidP="0085547A">
      <w:pPr>
        <w:pStyle w:val="FootnoteText"/>
        <w:rPr>
          <w:rFonts w:ascii="Times New Roman" w:hAnsi="Times New Roman" w:cs="Times New Roman"/>
          <w:sz w:val="22"/>
          <w:szCs w:val="22"/>
          <w:lang w:val="de-AT"/>
        </w:rPr>
      </w:pPr>
    </w:p>
  </w:footnote>
  <w:footnote w:id="18">
    <w:p w14:paraId="0C2A3908" w14:textId="77777777" w:rsidR="0085547A" w:rsidRDefault="0085547A" w:rsidP="0085547A">
      <w:pPr>
        <w:spacing w:after="0" w:line="240" w:lineRule="auto"/>
        <w:rPr>
          <w:rFonts w:ascii="Times New Roman" w:hAnsi="Times New Roman" w:cs="Times New Roman"/>
          <w:lang w:val="de-AT"/>
        </w:rPr>
      </w:pPr>
      <w:r w:rsidRPr="0085547A">
        <w:rPr>
          <w:rFonts w:ascii="Times New Roman" w:hAnsi="Times New Roman" w:cs="Times New Roman"/>
          <w:lang w:val="de-AT"/>
        </w:rPr>
        <w:footnoteRef/>
      </w:r>
      <w:r>
        <w:rPr>
          <w:rFonts w:ascii="Times New Roman" w:hAnsi="Times New Roman" w:cs="Times New Roman"/>
          <w:lang w:val="de-AT"/>
        </w:rPr>
        <w:t xml:space="preserve"> Siehe dazu den genaueren Entwicklungsprozess in Österreich abrufbar unter https://www.parlament.gv.at/gegenstand/XXVI/I/152, zuletzt abgerufen am 27.12.2023.</w:t>
      </w:r>
    </w:p>
  </w:footnote>
  <w:footnote w:id="19">
    <w:p w14:paraId="7D5B5B75" w14:textId="77777777" w:rsidR="006C1355" w:rsidRPr="00060EFA" w:rsidRDefault="006C1355" w:rsidP="006C1355">
      <w:pPr>
        <w:pStyle w:val="FootnoteText"/>
        <w:rPr>
          <w:rFonts w:ascii="Times New Roman" w:hAnsi="Times New Roman" w:cs="Times New Roman"/>
          <w:sz w:val="22"/>
          <w:szCs w:val="22"/>
          <w:lang w:val="de-DE"/>
        </w:rPr>
      </w:pPr>
      <w:r w:rsidRPr="006B4B1E">
        <w:rPr>
          <w:rFonts w:ascii="Times New Roman" w:hAnsi="Times New Roman" w:cs="Times New Roman"/>
          <w:sz w:val="22"/>
          <w:szCs w:val="22"/>
          <w:vertAlign w:val="superscript"/>
          <w:lang w:val="de-DE"/>
        </w:rPr>
        <w:footnoteRef/>
      </w:r>
      <w:r w:rsidRPr="00060EFA">
        <w:rPr>
          <w:rFonts w:ascii="Times New Roman" w:hAnsi="Times New Roman" w:cs="Times New Roman"/>
          <w:sz w:val="22"/>
          <w:szCs w:val="22"/>
          <w:lang w:val="de-DE"/>
        </w:rPr>
        <w:t xml:space="preserve"> Mercosur ist die Abkürzung für „Mercado </w:t>
      </w:r>
      <w:proofErr w:type="spellStart"/>
      <w:r w:rsidRPr="00060EFA">
        <w:rPr>
          <w:rFonts w:ascii="Times New Roman" w:hAnsi="Times New Roman" w:cs="Times New Roman"/>
          <w:sz w:val="22"/>
          <w:szCs w:val="22"/>
          <w:lang w:val="de-DE"/>
        </w:rPr>
        <w:t>Común</w:t>
      </w:r>
      <w:proofErr w:type="spellEnd"/>
      <w:r w:rsidRPr="00060EFA">
        <w:rPr>
          <w:rFonts w:ascii="Times New Roman" w:hAnsi="Times New Roman" w:cs="Times New Roman"/>
          <w:sz w:val="22"/>
          <w:szCs w:val="22"/>
          <w:lang w:val="de-DE"/>
        </w:rPr>
        <w:t xml:space="preserve"> del </w:t>
      </w:r>
      <w:proofErr w:type="spellStart"/>
      <w:r w:rsidRPr="00060EFA">
        <w:rPr>
          <w:rFonts w:ascii="Times New Roman" w:hAnsi="Times New Roman" w:cs="Times New Roman"/>
          <w:sz w:val="22"/>
          <w:szCs w:val="22"/>
          <w:lang w:val="de-DE"/>
        </w:rPr>
        <w:t>Sur</w:t>
      </w:r>
      <w:proofErr w:type="spellEnd"/>
      <w:r w:rsidRPr="00060EFA">
        <w:rPr>
          <w:rFonts w:ascii="Times New Roman" w:hAnsi="Times New Roman" w:cs="Times New Roman"/>
          <w:sz w:val="22"/>
          <w:szCs w:val="22"/>
          <w:lang w:val="de-DE"/>
        </w:rPr>
        <w:t>“ und bedeutet „Gemeinsamer Markt Südamerikas.</w:t>
      </w:r>
    </w:p>
  </w:footnote>
  <w:footnote w:id="20">
    <w:p w14:paraId="6D730855" w14:textId="77777777" w:rsidR="007E2A71" w:rsidRPr="001A36FC" w:rsidRDefault="007E2A71" w:rsidP="007E2A71">
      <w:pPr>
        <w:pStyle w:val="FootnoteText"/>
        <w:rPr>
          <w:rFonts w:ascii="Times New Roman" w:hAnsi="Times New Roman" w:cs="Times New Roman"/>
          <w:sz w:val="22"/>
          <w:szCs w:val="22"/>
          <w:lang w:val="en-US"/>
        </w:rPr>
      </w:pPr>
      <w:r w:rsidRPr="006B4B1E">
        <w:rPr>
          <w:rFonts w:ascii="Times New Roman" w:hAnsi="Times New Roman" w:cs="Times New Roman"/>
          <w:sz w:val="22"/>
          <w:szCs w:val="22"/>
          <w:vertAlign w:val="superscript"/>
          <w:lang w:val="de-DE"/>
        </w:rPr>
        <w:footnoteRef/>
      </w:r>
      <w:r w:rsidRPr="001A36FC">
        <w:rPr>
          <w:rFonts w:ascii="Times New Roman" w:hAnsi="Times New Roman" w:cs="Times New Roman"/>
          <w:sz w:val="22"/>
          <w:szCs w:val="22"/>
          <w:lang w:val="en-US"/>
        </w:rPr>
        <w:t xml:space="preserve"> </w:t>
      </w:r>
      <w:proofErr w:type="spellStart"/>
      <w:r w:rsidRPr="001A36FC">
        <w:rPr>
          <w:rFonts w:ascii="Times New Roman" w:hAnsi="Times New Roman" w:cs="Times New Roman"/>
          <w:i/>
          <w:iCs/>
          <w:sz w:val="22"/>
          <w:szCs w:val="22"/>
          <w:lang w:val="en-US"/>
        </w:rPr>
        <w:t>Tröster</w:t>
      </w:r>
      <w:proofErr w:type="spellEnd"/>
      <w:r w:rsidRPr="001A36FC">
        <w:rPr>
          <w:rFonts w:ascii="Times New Roman" w:hAnsi="Times New Roman" w:cs="Times New Roman"/>
          <w:i/>
          <w:iCs/>
          <w:sz w:val="22"/>
          <w:szCs w:val="22"/>
          <w:lang w:val="en-US"/>
        </w:rPr>
        <w:t>/Raza</w:t>
      </w:r>
      <w:r w:rsidRPr="001A36FC">
        <w:rPr>
          <w:rFonts w:ascii="Times New Roman" w:hAnsi="Times New Roman" w:cs="Times New Roman"/>
          <w:sz w:val="22"/>
          <w:szCs w:val="22"/>
          <w:lang w:val="en-US"/>
        </w:rPr>
        <w:t xml:space="preserve">, </w:t>
      </w:r>
      <w:proofErr w:type="spellStart"/>
      <w:proofErr w:type="gramStart"/>
      <w:r w:rsidRPr="001A36FC">
        <w:rPr>
          <w:rFonts w:ascii="Times New Roman" w:hAnsi="Times New Roman" w:cs="Times New Roman"/>
          <w:sz w:val="22"/>
          <w:szCs w:val="22"/>
          <w:lang w:val="en-US"/>
        </w:rPr>
        <w:t>Assess</w:t>
      </w:r>
      <w:proofErr w:type="gramEnd"/>
      <w:r w:rsidRPr="001A36FC">
        <w:rPr>
          <w:rFonts w:ascii="Times New Roman" w:hAnsi="Times New Roman" w:cs="Times New Roman"/>
          <w:sz w:val="22"/>
          <w:szCs w:val="22"/>
          <w:lang w:val="en-US"/>
        </w:rPr>
        <w:t>_EU_Mercosur</w:t>
      </w:r>
      <w:proofErr w:type="spellEnd"/>
      <w:r w:rsidRPr="001A36FC">
        <w:rPr>
          <w:rFonts w:ascii="Times New Roman" w:hAnsi="Times New Roman" w:cs="Times New Roman"/>
          <w:sz w:val="22"/>
          <w:szCs w:val="22"/>
          <w:lang w:val="en-US"/>
        </w:rPr>
        <w:t>: Assessing the claimed benefi</w:t>
      </w:r>
      <w:r>
        <w:rPr>
          <w:rFonts w:ascii="Times New Roman" w:hAnsi="Times New Roman" w:cs="Times New Roman"/>
          <w:sz w:val="22"/>
          <w:szCs w:val="22"/>
          <w:lang w:val="en-US"/>
        </w:rPr>
        <w:t>t</w:t>
      </w:r>
      <w:r w:rsidRPr="001A36FC">
        <w:rPr>
          <w:rFonts w:ascii="Times New Roman" w:hAnsi="Times New Roman" w:cs="Times New Roman"/>
          <w:sz w:val="22"/>
          <w:szCs w:val="22"/>
          <w:lang w:val="en-US"/>
        </w:rPr>
        <w:t xml:space="preserve">s </w:t>
      </w:r>
      <w:r>
        <w:rPr>
          <w:rFonts w:ascii="Times New Roman" w:hAnsi="Times New Roman" w:cs="Times New Roman"/>
          <w:sz w:val="22"/>
          <w:szCs w:val="22"/>
          <w:lang w:val="en-US"/>
        </w:rPr>
        <w:t xml:space="preserve">of the Association Agreement between the EU and Mercosur (2021) S. V </w:t>
      </w:r>
    </w:p>
  </w:footnote>
  <w:footnote w:id="21">
    <w:p w14:paraId="40FCD0A4" w14:textId="77777777" w:rsidR="006C1355" w:rsidRPr="00060EFA" w:rsidRDefault="006C1355" w:rsidP="006C1355">
      <w:pPr>
        <w:pStyle w:val="FootnoteText"/>
        <w:rPr>
          <w:rFonts w:ascii="Times New Roman" w:hAnsi="Times New Roman" w:cs="Times New Roman"/>
          <w:sz w:val="22"/>
          <w:szCs w:val="22"/>
          <w:lang w:val="de-DE"/>
        </w:rPr>
      </w:pPr>
      <w:r w:rsidRPr="006B4B1E">
        <w:rPr>
          <w:rFonts w:ascii="Times New Roman" w:hAnsi="Times New Roman" w:cs="Times New Roman"/>
          <w:sz w:val="22"/>
          <w:szCs w:val="22"/>
          <w:vertAlign w:val="superscript"/>
          <w:lang w:val="de-DE"/>
        </w:rPr>
        <w:footnoteRef/>
      </w:r>
      <w:r w:rsidRPr="006B4B1E">
        <w:rPr>
          <w:rFonts w:ascii="Times New Roman" w:hAnsi="Times New Roman" w:cs="Times New Roman"/>
          <w:sz w:val="22"/>
          <w:szCs w:val="22"/>
          <w:vertAlign w:val="superscript"/>
          <w:lang w:val="de-DE"/>
        </w:rPr>
        <w:t xml:space="preserve"> </w:t>
      </w:r>
      <w:r w:rsidRPr="00977DA3">
        <w:rPr>
          <w:rFonts w:ascii="Times New Roman" w:hAnsi="Times New Roman" w:cs="Times New Roman"/>
          <w:i/>
          <w:iCs/>
          <w:sz w:val="22"/>
          <w:szCs w:val="22"/>
          <w:lang w:val="de-DE"/>
        </w:rPr>
        <w:t>Internationaler Gewerkschaftsbund</w:t>
      </w:r>
      <w:r>
        <w:rPr>
          <w:rFonts w:ascii="Times New Roman" w:hAnsi="Times New Roman" w:cs="Times New Roman"/>
          <w:sz w:val="22"/>
          <w:szCs w:val="22"/>
          <w:lang w:val="de-DE"/>
        </w:rPr>
        <w:t>,</w:t>
      </w:r>
      <w:r w:rsidRPr="00060EFA">
        <w:rPr>
          <w:rFonts w:ascii="Times New Roman" w:hAnsi="Times New Roman" w:cs="Times New Roman"/>
          <w:sz w:val="22"/>
          <w:szCs w:val="22"/>
          <w:lang w:val="de-DE"/>
        </w:rPr>
        <w:t xml:space="preserve"> ITUC Global Rights Index</w:t>
      </w:r>
      <w:r>
        <w:rPr>
          <w:rFonts w:ascii="Times New Roman" w:hAnsi="Times New Roman" w:cs="Times New Roman"/>
          <w:sz w:val="22"/>
          <w:szCs w:val="22"/>
          <w:lang w:val="de-DE"/>
        </w:rPr>
        <w:t xml:space="preserve">, </w:t>
      </w:r>
      <w:r w:rsidRPr="00060EFA">
        <w:rPr>
          <w:rFonts w:ascii="Times New Roman" w:hAnsi="Times New Roman" w:cs="Times New Roman"/>
          <w:sz w:val="22"/>
          <w:szCs w:val="22"/>
          <w:lang w:val="de-DE"/>
        </w:rPr>
        <w:t>2019</w:t>
      </w:r>
    </w:p>
  </w:footnote>
  <w:footnote w:id="22">
    <w:p w14:paraId="3DDCEE5B" w14:textId="77777777" w:rsidR="006C1355" w:rsidRPr="00C370DB" w:rsidRDefault="006C1355" w:rsidP="006C1355">
      <w:pPr>
        <w:pStyle w:val="FootnoteText"/>
        <w:rPr>
          <w:rFonts w:ascii="Times New Roman" w:hAnsi="Times New Roman" w:cs="Times New Roman"/>
          <w:sz w:val="22"/>
          <w:szCs w:val="22"/>
          <w:lang w:val="de-DE"/>
        </w:rPr>
      </w:pPr>
      <w:r w:rsidRPr="00060EFA">
        <w:rPr>
          <w:rStyle w:val="FootnoteReference"/>
          <w:rFonts w:ascii="Times New Roman" w:hAnsi="Times New Roman" w:cs="Times New Roman"/>
          <w:sz w:val="22"/>
          <w:szCs w:val="22"/>
        </w:rPr>
        <w:footnoteRef/>
      </w:r>
      <w:r>
        <w:rPr>
          <w:rFonts w:ascii="Times New Roman" w:hAnsi="Times New Roman" w:cs="Times New Roman"/>
          <w:sz w:val="22"/>
          <w:szCs w:val="22"/>
          <w:lang w:val="de-DE"/>
        </w:rPr>
        <w:t xml:space="preserve"> Die ausführliche Begründung der Arbeiterkammer unter </w:t>
      </w:r>
      <w:r w:rsidRPr="00977DA3">
        <w:rPr>
          <w:rFonts w:ascii="Times New Roman" w:hAnsi="Times New Roman" w:cs="Times New Roman"/>
          <w:sz w:val="22"/>
          <w:szCs w:val="22"/>
          <w:lang w:val="de-DE"/>
        </w:rPr>
        <w:t>https://www.arbeiterkammer.at/interessenvertretung/eu/internationalerhandel/handelsabkommen_auf_dem_pruefstand/Mercosur.html</w:t>
      </w:r>
      <w:r>
        <w:rPr>
          <w:rFonts w:ascii="Times New Roman" w:hAnsi="Times New Roman" w:cs="Times New Roman"/>
          <w:sz w:val="22"/>
          <w:szCs w:val="22"/>
          <w:lang w:val="de-DE"/>
        </w:rPr>
        <w:t>, zuletzt abgerufen am 27.12.2023.</w:t>
      </w:r>
    </w:p>
  </w:footnote>
  <w:footnote w:id="23">
    <w:p w14:paraId="5FB0FD89" w14:textId="77777777" w:rsidR="006C1355" w:rsidRPr="00F449C5" w:rsidRDefault="006C1355" w:rsidP="006C1355">
      <w:pPr>
        <w:pStyle w:val="FootnoteText"/>
        <w:rPr>
          <w:lang w:val="de-DE"/>
        </w:rPr>
      </w:pPr>
      <w:r>
        <w:rPr>
          <w:rStyle w:val="FootnoteReference"/>
        </w:rPr>
        <w:footnoteRef/>
      </w:r>
      <w:r w:rsidRPr="00F449C5">
        <w:rPr>
          <w:lang w:val="de-DE"/>
        </w:rPr>
        <w:t xml:space="preserve"> </w:t>
      </w:r>
      <w:r w:rsidRPr="00AF5F55">
        <w:rPr>
          <w:rFonts w:ascii="Times New Roman" w:hAnsi="Times New Roman" w:cs="Times New Roman"/>
          <w:sz w:val="22"/>
          <w:szCs w:val="22"/>
          <w:lang w:val="de-DE"/>
        </w:rPr>
        <w:t>Siehe dazu weitere Kritikpunkte in auch https://www.misereor.de/presse/pressemeldungen-misereor/eu-mexiko-abkommen-kein-schutz-fuer-mensch-und-natur</w:t>
      </w:r>
    </w:p>
  </w:footnote>
  <w:footnote w:id="24">
    <w:p w14:paraId="23FB60DD" w14:textId="77777777" w:rsidR="006C1355" w:rsidRPr="00C7396F" w:rsidRDefault="006C1355" w:rsidP="006C1355">
      <w:pPr>
        <w:spacing w:after="0" w:line="240" w:lineRule="auto"/>
        <w:rPr>
          <w:rFonts w:ascii="Times New Roman" w:hAnsi="Times New Roman" w:cs="Times New Roman"/>
          <w:color w:val="0000FF"/>
          <w:u w:val="single"/>
          <w:lang w:val="de-DE"/>
        </w:rPr>
      </w:pPr>
      <w:r w:rsidRPr="00060EFA">
        <w:rPr>
          <w:rStyle w:val="FootnoteReference"/>
          <w:rFonts w:ascii="Times New Roman" w:hAnsi="Times New Roman" w:cs="Times New Roman"/>
        </w:rPr>
        <w:footnoteRef/>
      </w:r>
      <w:r w:rsidRPr="00C7396F">
        <w:rPr>
          <w:rFonts w:ascii="Times New Roman" w:hAnsi="Times New Roman" w:cs="Times New Roman"/>
          <w:lang w:val="de-DE"/>
        </w:rPr>
        <w:t xml:space="preserve"> https://www.misereor.de/fileadmin/publikationen/mexiko-eu-handelsabkommen-studie.pdf</w:t>
      </w:r>
      <w:r w:rsidRPr="00C7396F">
        <w:rPr>
          <w:rFonts w:ascii="Times New Roman" w:eastAsia="Times New Roman" w:hAnsi="Times New Roman" w:cs="Times New Roman"/>
          <w:lang w:val="de-DE" w:eastAsia="en-GB"/>
        </w:rPr>
        <w:t>. S.1</w:t>
      </w:r>
      <w:r>
        <w:rPr>
          <w:rFonts w:ascii="Times New Roman" w:eastAsia="Times New Roman" w:hAnsi="Times New Roman" w:cs="Times New Roman"/>
          <w:lang w:val="de-DE" w:eastAsia="en-GB"/>
        </w:rPr>
        <w:t>2</w:t>
      </w:r>
    </w:p>
  </w:footnote>
  <w:footnote w:id="25">
    <w:p w14:paraId="7DBFCDEE" w14:textId="77777777" w:rsidR="006C1355" w:rsidRPr="00AF5F55" w:rsidRDefault="006C1355" w:rsidP="006C1355">
      <w:pPr>
        <w:pStyle w:val="FootnoteText"/>
        <w:rPr>
          <w:rFonts w:ascii="Times New Roman" w:hAnsi="Times New Roman" w:cs="Times New Roman"/>
          <w:sz w:val="22"/>
          <w:szCs w:val="22"/>
          <w:lang w:val="de-DE"/>
        </w:rPr>
      </w:pPr>
      <w:r w:rsidRPr="00AF5F55">
        <w:rPr>
          <w:rStyle w:val="FootnoteReference"/>
          <w:rFonts w:ascii="Times New Roman" w:hAnsi="Times New Roman" w:cs="Times New Roman"/>
          <w:sz w:val="22"/>
          <w:szCs w:val="22"/>
        </w:rPr>
        <w:footnoteRef/>
      </w:r>
      <w:r w:rsidRPr="00AF5F55">
        <w:rPr>
          <w:rFonts w:ascii="Times New Roman" w:hAnsi="Times New Roman" w:cs="Times New Roman"/>
          <w:sz w:val="22"/>
          <w:szCs w:val="22"/>
          <w:lang w:val="de-DE"/>
        </w:rPr>
        <w:t xml:space="preserve"> Siehe zum ILO-Übereinkommen auch unter https://www.ilo.org/berlin/arbeits-und-standards/ratifikationen-in-deutschland/lang--de/index.htm, zuletzt </w:t>
      </w:r>
      <w:r w:rsidRPr="00AF5F55">
        <w:rPr>
          <w:rFonts w:ascii="Times New Roman" w:eastAsia="Times New Roman" w:hAnsi="Times New Roman" w:cs="Times New Roman"/>
          <w:sz w:val="22"/>
          <w:szCs w:val="22"/>
          <w:lang w:val="de-DE" w:eastAsia="en-GB"/>
        </w:rPr>
        <w:t>abgerufen am 27.12.2023.</w:t>
      </w:r>
    </w:p>
  </w:footnote>
  <w:footnote w:id="26">
    <w:p w14:paraId="424C26E3" w14:textId="77777777" w:rsidR="006C1355" w:rsidRPr="00AF5F55" w:rsidRDefault="006C1355" w:rsidP="006C1355">
      <w:pPr>
        <w:spacing w:after="0" w:line="240" w:lineRule="auto"/>
        <w:rPr>
          <w:rStyle w:val="Hyperlink"/>
          <w:rFonts w:ascii="Times New Roman" w:eastAsia="Times New Roman" w:hAnsi="Times New Roman" w:cs="Times New Roman"/>
          <w:color w:val="auto"/>
          <w:u w:val="none"/>
          <w:vertAlign w:val="superscript"/>
          <w:lang w:val="de-DE" w:eastAsia="en-GB"/>
        </w:rPr>
      </w:pPr>
      <w:r w:rsidRPr="00AF5F55">
        <w:rPr>
          <w:rStyle w:val="Hyperlink"/>
          <w:rFonts w:ascii="Times New Roman" w:eastAsia="Times New Roman" w:hAnsi="Times New Roman" w:cs="Times New Roman"/>
          <w:color w:val="auto"/>
          <w:u w:val="none"/>
          <w:vertAlign w:val="superscript"/>
          <w:lang w:val="it-IT" w:eastAsia="en-GB"/>
        </w:rPr>
        <w:footnoteRef/>
      </w:r>
      <w:r w:rsidRPr="00AF5F55">
        <w:rPr>
          <w:rStyle w:val="Hyperlink"/>
          <w:rFonts w:ascii="Times New Roman" w:eastAsia="Times New Roman" w:hAnsi="Times New Roman" w:cs="Times New Roman"/>
          <w:color w:val="auto"/>
          <w:u w:val="none"/>
          <w:vertAlign w:val="superscript"/>
          <w:lang w:val="de-DE" w:eastAsia="en-GB"/>
        </w:rPr>
        <w:t xml:space="preserve"> </w:t>
      </w:r>
      <w:r w:rsidRPr="00AF5F55">
        <w:rPr>
          <w:rFonts w:ascii="Times New Roman" w:hAnsi="Times New Roman" w:cs="Times New Roman"/>
          <w:color w:val="212121"/>
          <w:lang w:val="de-DE"/>
        </w:rPr>
        <w:t>https://policy.trade.ec.europa.eu/eu-trade-relationships-country-and-region/countries-and-regions/mercosur/eu-mercosur-agreement/factsheets-and-guides_en</w:t>
      </w:r>
    </w:p>
    <w:p w14:paraId="7E7C9D04" w14:textId="77777777" w:rsidR="006C1355" w:rsidRPr="00AF5F55" w:rsidRDefault="006C1355" w:rsidP="006C1355">
      <w:pPr>
        <w:spacing w:after="0" w:line="240" w:lineRule="auto"/>
        <w:rPr>
          <w:rFonts w:ascii="Times New Roman" w:eastAsia="Times New Roman" w:hAnsi="Times New Roman" w:cs="Times New Roman"/>
          <w:color w:val="212121"/>
          <w:lang w:val="de-DE"/>
        </w:rPr>
      </w:pPr>
    </w:p>
  </w:footnote>
  <w:footnote w:id="27">
    <w:p w14:paraId="0DA09865" w14:textId="77777777" w:rsidR="006C1355" w:rsidRPr="00AF5F55" w:rsidRDefault="006C1355" w:rsidP="006C1355">
      <w:pPr>
        <w:spacing w:after="0"/>
        <w:rPr>
          <w:rFonts w:ascii="Times New Roman" w:eastAsia="Times New Roman" w:hAnsi="Times New Roman" w:cs="Times New Roman"/>
          <w:color w:val="212121"/>
          <w:lang w:val="de-DE"/>
        </w:rPr>
      </w:pPr>
      <w:r>
        <w:rPr>
          <w:rStyle w:val="FootnoteReference"/>
          <w:rFonts w:ascii="Times New Roman" w:eastAsia="Times New Roman" w:hAnsi="Times New Roman" w:cs="Times New Roman"/>
          <w:sz w:val="24"/>
          <w:szCs w:val="24"/>
          <w:lang w:val="de-DE"/>
        </w:rPr>
        <w:footnoteRef/>
      </w:r>
      <w:r>
        <w:rPr>
          <w:rFonts w:ascii="Times New Roman" w:eastAsia="Times New Roman" w:hAnsi="Times New Roman" w:cs="Times New Roman"/>
          <w:sz w:val="24"/>
          <w:szCs w:val="24"/>
          <w:lang w:val="de-DE"/>
        </w:rPr>
        <w:t xml:space="preserve"> </w:t>
      </w:r>
      <w:r w:rsidRPr="00E46AC7">
        <w:rPr>
          <w:rFonts w:ascii="Times New Roman" w:hAnsi="Times New Roman" w:cs="Times New Roman"/>
          <w:color w:val="212121"/>
          <w:lang w:val="de-DE"/>
        </w:rPr>
        <w:t xml:space="preserve"> </w:t>
      </w:r>
      <w:r w:rsidRPr="00E46AC7">
        <w:rPr>
          <w:rFonts w:ascii="Times New Roman" w:eastAsia="Times New Roman" w:hAnsi="Times New Roman" w:cs="Times New Roman"/>
          <w:color w:val="212121"/>
          <w:lang w:val="de-DE"/>
        </w:rPr>
        <w:t> </w:t>
      </w:r>
      <w:r w:rsidRPr="00AF5F55">
        <w:rPr>
          <w:rFonts w:ascii="Times New Roman" w:eastAsia="Times New Roman" w:hAnsi="Times New Roman" w:cs="Times New Roman"/>
          <w:color w:val="212121"/>
          <w:lang w:val="de-DE"/>
        </w:rPr>
        <w:t>Siehe auch unter https://www.bmel.de/SharedDocs/FAQs/DE/faq-eu-mercosur/FAQ-eu-mercosur_List.html, zuletzt abgerufen am 27.12.2023</w:t>
      </w:r>
    </w:p>
  </w:footnote>
  <w:footnote w:id="28">
    <w:p w14:paraId="65030A92" w14:textId="77777777" w:rsidR="006C1355" w:rsidRPr="00AF5F55" w:rsidRDefault="006C1355" w:rsidP="006C1355">
      <w:pPr>
        <w:spacing w:after="0"/>
        <w:rPr>
          <w:rFonts w:ascii="Times New Roman" w:eastAsia="Times New Roman" w:hAnsi="Times New Roman" w:cs="Times New Roman"/>
          <w:color w:val="212121"/>
          <w:lang w:val="de-DE"/>
        </w:rPr>
      </w:pPr>
      <w:r w:rsidRPr="001D5F1C">
        <w:rPr>
          <w:rStyle w:val="FootnoteReference"/>
          <w:rFonts w:ascii="Times New Roman" w:eastAsia="Times New Roman" w:hAnsi="Times New Roman" w:cs="Times New Roman"/>
          <w:color w:val="212121"/>
          <w:sz w:val="24"/>
          <w:szCs w:val="24"/>
          <w:lang w:val="de-DE"/>
        </w:rPr>
        <w:footnoteRef/>
      </w:r>
      <w:r w:rsidRPr="001D5F1C">
        <w:rPr>
          <w:rFonts w:ascii="Times New Roman" w:eastAsia="Times New Roman" w:hAnsi="Times New Roman" w:cs="Times New Roman"/>
          <w:color w:val="212121"/>
          <w:sz w:val="24"/>
          <w:szCs w:val="24"/>
          <w:lang w:val="de-DE"/>
        </w:rPr>
        <w:t xml:space="preserve"> </w:t>
      </w:r>
      <w:r w:rsidRPr="00AF5F55">
        <w:rPr>
          <w:rFonts w:ascii="Times New Roman" w:eastAsia="Times New Roman" w:hAnsi="Times New Roman" w:cs="Times New Roman"/>
          <w:color w:val="212121"/>
          <w:lang w:val="de-DE"/>
        </w:rPr>
        <w:t xml:space="preserve">Verordnung (EU) 2023/1115 des Europäischen Parlaments und des Rates v. 31.05.2023 über die Bereitstellung bestimmter Rohstoffe und Erzeugnisse, die mit Entwaldung und Waldschädigung in Verbindung stehen, auf dem Unionsmarkt und ihre Ausfuhr aus der Union sowie zur Aufhebung der Verordnung (EU) Nr. 995/2010, </w:t>
      </w:r>
      <w:proofErr w:type="spellStart"/>
      <w:r w:rsidRPr="00AF5F55">
        <w:rPr>
          <w:rFonts w:ascii="Times New Roman" w:eastAsia="Times New Roman" w:hAnsi="Times New Roman" w:cs="Times New Roman"/>
          <w:color w:val="212121"/>
          <w:lang w:val="de-DE"/>
        </w:rPr>
        <w:t>ABl</w:t>
      </w:r>
      <w:proofErr w:type="spellEnd"/>
      <w:r w:rsidRPr="00AF5F55">
        <w:rPr>
          <w:rFonts w:ascii="Times New Roman" w:eastAsia="Times New Roman" w:hAnsi="Times New Roman" w:cs="Times New Roman"/>
          <w:color w:val="212121"/>
          <w:lang w:val="de-DE"/>
        </w:rPr>
        <w:t xml:space="preserve"> 2023 L 150/206.</w:t>
      </w:r>
    </w:p>
  </w:footnote>
  <w:footnote w:id="29">
    <w:p w14:paraId="78FE7D24" w14:textId="20E00803" w:rsidR="007E2A71" w:rsidRPr="007E2A71" w:rsidRDefault="007E2A71">
      <w:pPr>
        <w:pStyle w:val="FootnoteText"/>
        <w:rPr>
          <w:lang w:val="de-DE"/>
        </w:rPr>
      </w:pPr>
      <w:r>
        <w:rPr>
          <w:rStyle w:val="FootnoteReference"/>
        </w:rPr>
        <w:footnoteRef/>
      </w:r>
      <w:r w:rsidRPr="007E2A71">
        <w:rPr>
          <w:lang w:val="de-DE"/>
        </w:rPr>
        <w:t xml:space="preserve"> </w:t>
      </w:r>
      <w:r w:rsidRPr="007E2A71">
        <w:rPr>
          <w:rFonts w:ascii="Times New Roman" w:hAnsi="Times New Roman" w:cs="Times New Roman"/>
          <w:sz w:val="22"/>
          <w:szCs w:val="22"/>
          <w:lang w:val="de-DE"/>
        </w:rPr>
        <w:t>Der EU-Grenzausgleichsmechanismus für CO₂, "CBAM" (Carbon Border Adjustment Mechanismus soll emissionsintensive Importe aus Drittstaaten auf das europäische Preisniveau verteuern, um so die Wettbewerbsnachteile der Betriebe in der EU infolge strengerer Klimaschutzvorgaben auszugleichen</w:t>
      </w:r>
      <w:r>
        <w:rPr>
          <w:rFonts w:ascii="Times New Roman" w:hAnsi="Times New Roman" w:cs="Times New Roman"/>
          <w:sz w:val="22"/>
          <w:szCs w:val="22"/>
          <w:lang w:val="de-DE"/>
        </w:rPr>
        <w:t>.</w:t>
      </w:r>
    </w:p>
  </w:footnote>
  <w:footnote w:id="30">
    <w:p w14:paraId="7C3F2FD5" w14:textId="3164E6E5" w:rsidR="007E2A71" w:rsidRPr="007E2A71" w:rsidRDefault="007E2A71">
      <w:pPr>
        <w:pStyle w:val="FootnoteText"/>
        <w:rPr>
          <w:lang w:val="de-DE"/>
        </w:rPr>
      </w:pPr>
      <w:r>
        <w:rPr>
          <w:rStyle w:val="FootnoteReference"/>
        </w:rPr>
        <w:footnoteRef/>
      </w:r>
      <w:r w:rsidRPr="007E2A71">
        <w:rPr>
          <w:lang w:val="de-DE"/>
        </w:rPr>
        <w:t xml:space="preserve"> </w:t>
      </w:r>
      <w:r w:rsidRPr="007E2A71">
        <w:rPr>
          <w:rFonts w:ascii="Times New Roman" w:hAnsi="Times New Roman" w:cs="Times New Roman"/>
          <w:sz w:val="22"/>
          <w:szCs w:val="22"/>
          <w:lang w:val="de-DE"/>
        </w:rPr>
        <w:t>https://www.euractiv.fr/section/economie/news/emmanuel-macron-ne-veut-pas-daccord-ue-mercosur-sans-clauses-miroirs</w:t>
      </w:r>
    </w:p>
  </w:footnote>
  <w:footnote w:id="31">
    <w:p w14:paraId="40B95F80" w14:textId="77777777" w:rsidR="006C1355" w:rsidRPr="002A545A" w:rsidRDefault="006C1355" w:rsidP="006C1355">
      <w:pPr>
        <w:spacing w:after="0"/>
        <w:rPr>
          <w:rFonts w:ascii="Times New Roman" w:eastAsia="Times New Roman" w:hAnsi="Times New Roman" w:cs="Times New Roman"/>
          <w:color w:val="212121"/>
          <w:lang w:val="de-AT"/>
        </w:rPr>
      </w:pPr>
      <w:r w:rsidRPr="00060EFA">
        <w:rPr>
          <w:rStyle w:val="FootnoteReference"/>
          <w:rFonts w:ascii="Times New Roman" w:hAnsi="Times New Roman" w:cs="Times New Roman"/>
        </w:rPr>
        <w:footnoteRef/>
      </w:r>
      <w:r w:rsidRPr="002A545A">
        <w:rPr>
          <w:rFonts w:ascii="Times New Roman" w:hAnsi="Times New Roman" w:cs="Times New Roman"/>
          <w:lang w:val="de-AT"/>
        </w:rPr>
        <w:t xml:space="preserve"> Siehe dazu auch </w:t>
      </w:r>
      <w:r w:rsidRPr="002A545A">
        <w:rPr>
          <w:rFonts w:ascii="Times New Roman" w:eastAsia="Times New Roman" w:hAnsi="Times New Roman" w:cs="Times New Roman"/>
          <w:color w:val="212121"/>
          <w:lang w:val="de-AT"/>
        </w:rPr>
        <w:t>un</w:t>
      </w:r>
      <w:r>
        <w:rPr>
          <w:rFonts w:ascii="Times New Roman" w:eastAsia="Times New Roman" w:hAnsi="Times New Roman" w:cs="Times New Roman"/>
          <w:color w:val="212121"/>
          <w:lang w:val="de-AT"/>
        </w:rPr>
        <w:t>ter</w:t>
      </w:r>
      <w:r w:rsidRPr="002A545A">
        <w:rPr>
          <w:rFonts w:ascii="Times New Roman" w:eastAsia="Times New Roman" w:hAnsi="Times New Roman" w:cs="Times New Roman"/>
          <w:color w:val="212121"/>
          <w:lang w:val="de-AT"/>
        </w:rPr>
        <w:t xml:space="preserve"> </w:t>
      </w:r>
      <w:r w:rsidRPr="00BB0802">
        <w:rPr>
          <w:rFonts w:ascii="Times New Roman" w:eastAsia="Times New Roman" w:hAnsi="Times New Roman" w:cs="Times New Roman"/>
          <w:color w:val="212121"/>
          <w:lang w:val="de-AT"/>
        </w:rPr>
        <w:t>https://www.oekolandbau.de/verarbeitung/unternehmen/vom-hof-auf-den-tisch-eine-strategie-fuer-die-zukunft</w:t>
      </w:r>
    </w:p>
  </w:footnote>
  <w:footnote w:id="32">
    <w:p w14:paraId="229190E3" w14:textId="77777777" w:rsidR="006C1355" w:rsidRPr="00AB43C5" w:rsidRDefault="006C1355" w:rsidP="006C1355">
      <w:pPr>
        <w:pStyle w:val="FootnoteText"/>
        <w:rPr>
          <w:rFonts w:ascii="Times New Roman" w:hAnsi="Times New Roman" w:cs="Times New Roman"/>
          <w:sz w:val="22"/>
          <w:szCs w:val="22"/>
          <w:lang w:val="de-DE"/>
        </w:rPr>
      </w:pPr>
      <w:r w:rsidRPr="00060EFA">
        <w:rPr>
          <w:rStyle w:val="FootnoteReference"/>
          <w:rFonts w:ascii="Times New Roman" w:hAnsi="Times New Roman" w:cs="Times New Roman"/>
          <w:sz w:val="22"/>
          <w:szCs w:val="22"/>
        </w:rPr>
        <w:footnoteRef/>
      </w:r>
      <w:r w:rsidRPr="00060EFA">
        <w:rPr>
          <w:rFonts w:ascii="Times New Roman" w:hAnsi="Times New Roman" w:cs="Times New Roman"/>
          <w:sz w:val="22"/>
          <w:szCs w:val="22"/>
          <w:lang w:val="de-DE"/>
        </w:rPr>
        <w:t xml:space="preserve"> Siehe dazu näheres </w:t>
      </w:r>
      <w:r>
        <w:rPr>
          <w:rFonts w:ascii="Times New Roman" w:hAnsi="Times New Roman" w:cs="Times New Roman"/>
          <w:sz w:val="22"/>
          <w:szCs w:val="22"/>
          <w:lang w:val="de-DE"/>
        </w:rPr>
        <w:t>unter</w:t>
      </w:r>
      <w:r w:rsidRPr="00060EFA">
        <w:rPr>
          <w:rFonts w:ascii="Times New Roman" w:hAnsi="Times New Roman" w:cs="Times New Roman"/>
          <w:sz w:val="22"/>
          <w:szCs w:val="22"/>
          <w:lang w:val="de-DE"/>
        </w:rPr>
        <w:t xml:space="preserve"> </w:t>
      </w:r>
      <w:r>
        <w:rPr>
          <w:rFonts w:ascii="Times New Roman" w:hAnsi="Times New Roman" w:cs="Times New Roman"/>
          <w:sz w:val="22"/>
          <w:szCs w:val="22"/>
          <w:lang w:val="de-DE"/>
        </w:rPr>
        <w:t>h</w:t>
      </w:r>
      <w:r w:rsidRPr="00AB43C5">
        <w:rPr>
          <w:rFonts w:ascii="Times New Roman" w:hAnsi="Times New Roman" w:cs="Times New Roman"/>
          <w:sz w:val="22"/>
          <w:szCs w:val="22"/>
          <w:lang w:val="de-DE"/>
        </w:rPr>
        <w:t>ttps://www.europarl.europa.eu/factsheets/de/sheet/51/lebensmittelsicherheit</w:t>
      </w:r>
      <w:r>
        <w:rPr>
          <w:rFonts w:ascii="Times New Roman" w:hAnsi="Times New Roman" w:cs="Times New Roman"/>
          <w:sz w:val="22"/>
          <w:szCs w:val="22"/>
          <w:lang w:val="de-DE"/>
        </w:rPr>
        <w:t xml:space="preserve">, zuletzt </w:t>
      </w:r>
      <w:r w:rsidRPr="00AB43C5">
        <w:rPr>
          <w:rFonts w:ascii="Times New Roman" w:eastAsia="Times New Roman" w:hAnsi="Times New Roman" w:cs="Times New Roman"/>
          <w:sz w:val="22"/>
          <w:szCs w:val="22"/>
          <w:lang w:val="de-AT"/>
        </w:rPr>
        <w:t>abgerufen am 27.12.2023.</w:t>
      </w:r>
    </w:p>
  </w:footnote>
  <w:footnote w:id="33">
    <w:p w14:paraId="457010B5" w14:textId="77777777" w:rsidR="006C1355" w:rsidRPr="00060EFA" w:rsidRDefault="006C1355" w:rsidP="006C1355">
      <w:pPr>
        <w:pStyle w:val="FootnoteText"/>
        <w:rPr>
          <w:rFonts w:ascii="Times New Roman" w:hAnsi="Times New Roman" w:cs="Times New Roman"/>
          <w:sz w:val="22"/>
          <w:szCs w:val="22"/>
          <w:lang w:val="de-DE"/>
        </w:rPr>
      </w:pPr>
      <w:r w:rsidRPr="00060EFA">
        <w:rPr>
          <w:rStyle w:val="FootnoteReference"/>
          <w:rFonts w:ascii="Times New Roman" w:hAnsi="Times New Roman" w:cs="Times New Roman"/>
          <w:sz w:val="22"/>
          <w:szCs w:val="22"/>
        </w:rPr>
        <w:footnoteRef/>
      </w:r>
      <w:r w:rsidRPr="00060EFA">
        <w:rPr>
          <w:rFonts w:ascii="Times New Roman" w:hAnsi="Times New Roman" w:cs="Times New Roman"/>
          <w:sz w:val="22"/>
          <w:szCs w:val="22"/>
          <w:lang w:val="de-DE"/>
        </w:rPr>
        <w:t xml:space="preserve"> COM(2022) 133 final</w:t>
      </w:r>
      <w:r w:rsidRPr="00F44950">
        <w:rPr>
          <w:rFonts w:ascii="Times New Roman" w:hAnsi="Times New Roman" w:cs="Times New Roman"/>
          <w:sz w:val="22"/>
          <w:szCs w:val="22"/>
          <w:lang w:val="de-DE"/>
        </w:rPr>
        <w:t xml:space="preserve">. </w:t>
      </w:r>
      <w:r w:rsidRPr="00060EFA">
        <w:rPr>
          <w:rFonts w:ascii="Times New Roman" w:hAnsi="Times New Roman" w:cs="Times New Roman"/>
          <w:sz w:val="22"/>
          <w:szCs w:val="22"/>
          <w:lang w:val="de-DE"/>
        </w:rPr>
        <w:t xml:space="preserve">Die Einfuhrbestimmungen und das Kontrollsystem sind risikobasiert, </w:t>
      </w:r>
      <w:proofErr w:type="spellStart"/>
      <w:r w:rsidRPr="00060EFA">
        <w:rPr>
          <w:rFonts w:ascii="Times New Roman" w:hAnsi="Times New Roman" w:cs="Times New Roman"/>
          <w:sz w:val="22"/>
          <w:szCs w:val="22"/>
          <w:lang w:val="de-DE"/>
        </w:rPr>
        <w:t>d</w:t>
      </w:r>
      <w:r>
        <w:rPr>
          <w:rFonts w:ascii="Times New Roman" w:hAnsi="Times New Roman" w:cs="Times New Roman"/>
          <w:sz w:val="22"/>
          <w:szCs w:val="22"/>
          <w:lang w:val="de-DE"/>
        </w:rPr>
        <w:t>h</w:t>
      </w:r>
      <w:proofErr w:type="spellEnd"/>
      <w:r>
        <w:rPr>
          <w:rFonts w:ascii="Times New Roman" w:hAnsi="Times New Roman" w:cs="Times New Roman"/>
          <w:sz w:val="22"/>
          <w:szCs w:val="22"/>
          <w:lang w:val="de-DE"/>
        </w:rPr>
        <w:t xml:space="preserve"> der</w:t>
      </w:r>
      <w:r w:rsidRPr="00060EFA">
        <w:rPr>
          <w:rFonts w:ascii="Times New Roman" w:hAnsi="Times New Roman" w:cs="Times New Roman"/>
          <w:sz w:val="22"/>
          <w:szCs w:val="22"/>
          <w:lang w:val="de-DE"/>
        </w:rPr>
        <w:t xml:space="preserve"> Umfang und Intensität der Kontrollen richten sich nach dem Risiko, das von bestimmten Tieren, Pflanzen oder Erzeugnissen ausgeht.</w:t>
      </w:r>
    </w:p>
  </w:footnote>
  <w:footnote w:id="34">
    <w:p w14:paraId="3D02844F" w14:textId="516EBD7F" w:rsidR="00925A40" w:rsidRPr="0085547A" w:rsidRDefault="00925A40" w:rsidP="00925A40">
      <w:pPr>
        <w:pStyle w:val="FootnoteText"/>
        <w:rPr>
          <w:rFonts w:ascii="Times New Roman" w:hAnsi="Times New Roman" w:cs="Times New Roman"/>
          <w:sz w:val="22"/>
          <w:szCs w:val="22"/>
          <w:lang w:val="de-AT"/>
        </w:rPr>
      </w:pPr>
      <w:r w:rsidRPr="0085547A">
        <w:rPr>
          <w:lang w:val="de-AT"/>
        </w:rPr>
        <w:footnoteRef/>
      </w:r>
      <w:r w:rsidR="0093715B" w:rsidRPr="0085547A">
        <w:rPr>
          <w:rFonts w:ascii="Times New Roman" w:hAnsi="Times New Roman" w:cs="Times New Roman"/>
          <w:sz w:val="22"/>
          <w:szCs w:val="22"/>
          <w:lang w:val="de-AT"/>
        </w:rPr>
        <w:t xml:space="preserve"> Siehe weiteres dazu in </w:t>
      </w:r>
      <w:r w:rsidRPr="0085547A">
        <w:rPr>
          <w:rFonts w:ascii="Times New Roman" w:hAnsi="Times New Roman" w:cs="Times New Roman"/>
          <w:sz w:val="22"/>
          <w:szCs w:val="22"/>
          <w:lang w:val="de-AT"/>
        </w:rPr>
        <w:t xml:space="preserve"> </w:t>
      </w:r>
      <w:r w:rsidRPr="0085547A">
        <w:rPr>
          <w:rFonts w:ascii="Times New Roman" w:hAnsi="Times New Roman" w:cs="Times New Roman"/>
          <w:i/>
          <w:iCs/>
          <w:sz w:val="22"/>
          <w:szCs w:val="22"/>
          <w:lang w:val="de-AT"/>
        </w:rPr>
        <w:t>Kölbl,</w:t>
      </w:r>
      <w:r w:rsidRPr="0085547A">
        <w:rPr>
          <w:rFonts w:ascii="Times New Roman" w:hAnsi="Times New Roman" w:cs="Times New Roman"/>
          <w:sz w:val="22"/>
          <w:szCs w:val="22"/>
          <w:lang w:val="de-AT"/>
        </w:rPr>
        <w:t xml:space="preserve"> Grundlagen des EU-Beihilferechts</w:t>
      </w:r>
      <w:r w:rsidR="00E82446" w:rsidRPr="0085547A">
        <w:rPr>
          <w:rFonts w:ascii="Times New Roman" w:hAnsi="Times New Roman" w:cs="Times New Roman"/>
          <w:sz w:val="22"/>
          <w:szCs w:val="22"/>
          <w:lang w:val="de-AT"/>
        </w:rPr>
        <w:t xml:space="preserve">, </w:t>
      </w:r>
      <w:r w:rsidRPr="0085547A">
        <w:rPr>
          <w:rFonts w:ascii="Times New Roman" w:hAnsi="Times New Roman" w:cs="Times New Roman"/>
          <w:sz w:val="22"/>
          <w:szCs w:val="22"/>
          <w:lang w:val="de-AT"/>
        </w:rPr>
        <w:t>2021</w:t>
      </w:r>
      <w:r w:rsidR="00474C97" w:rsidRPr="0085547A">
        <w:rPr>
          <w:rFonts w:ascii="Times New Roman" w:hAnsi="Times New Roman" w:cs="Times New Roman"/>
          <w:sz w:val="22"/>
          <w:szCs w:val="22"/>
          <w:lang w:val="de-AT"/>
        </w:rPr>
        <w:t>.</w:t>
      </w:r>
    </w:p>
  </w:footnote>
  <w:footnote w:id="35">
    <w:p w14:paraId="2523C138" w14:textId="1E44606F" w:rsidR="0059586E" w:rsidRPr="00905D01" w:rsidRDefault="0059586E" w:rsidP="00C72971">
      <w:pPr>
        <w:shd w:val="clear" w:color="auto" w:fill="FFFFFF"/>
        <w:spacing w:after="0" w:line="240" w:lineRule="auto"/>
        <w:textAlignment w:val="baseline"/>
        <w:rPr>
          <w:rFonts w:ascii="Times New Roman" w:hAnsi="Times New Roman" w:cs="Times New Roman"/>
          <w:lang w:val="it-IT"/>
        </w:rPr>
      </w:pPr>
      <w:r w:rsidRPr="00905D01">
        <w:rPr>
          <w:rStyle w:val="FootnoteReference"/>
          <w:rFonts w:ascii="Times New Roman" w:hAnsi="Times New Roman" w:cs="Times New Roman"/>
        </w:rPr>
        <w:footnoteRef/>
      </w:r>
      <w:r w:rsidRPr="00905D01">
        <w:rPr>
          <w:rFonts w:ascii="Times New Roman" w:hAnsi="Times New Roman" w:cs="Times New Roman"/>
          <w:lang w:val="it-IT"/>
        </w:rPr>
        <w:t xml:space="preserve"> </w:t>
      </w:r>
      <w:r w:rsidR="0090328A" w:rsidRPr="00074B3A">
        <w:rPr>
          <w:rFonts w:ascii="Times New Roman" w:hAnsi="Times New Roman" w:cs="Times New Roman"/>
          <w:lang w:val="it-IT"/>
        </w:rPr>
        <w:t>Boschiero/Silingardi</w:t>
      </w:r>
      <w:r w:rsidR="0090328A" w:rsidRPr="00905D01">
        <w:rPr>
          <w:rFonts w:ascii="Times New Roman" w:hAnsi="Times New Roman" w:cs="Times New Roman"/>
          <w:lang w:val="it-IT"/>
        </w:rPr>
        <w:t>,</w:t>
      </w:r>
      <w:bookmarkStart w:id="7" w:name="_Hlk145171257"/>
      <w:r w:rsidR="0090328A" w:rsidRPr="00905D01">
        <w:rPr>
          <w:rFonts w:ascii="Times New Roman" w:hAnsi="Times New Roman" w:cs="Times New Roman"/>
          <w:lang w:val="it-IT"/>
        </w:rPr>
        <w:t xml:space="preserve"> </w:t>
      </w:r>
      <w:r w:rsidR="009544D2" w:rsidRPr="00905D01">
        <w:rPr>
          <w:rFonts w:ascii="Times New Roman" w:eastAsia="Times New Roman" w:hAnsi="Times New Roman" w:cs="Times New Roman"/>
          <w:color w:val="242424"/>
          <w:lang w:val="it-IT" w:eastAsia="en-GB"/>
        </w:rPr>
        <w:t>German</w:t>
      </w:r>
      <w:r w:rsidR="0090328A" w:rsidRPr="00905D01">
        <w:rPr>
          <w:rFonts w:ascii="Times New Roman" w:eastAsia="Times New Roman" w:hAnsi="Times New Roman" w:cs="Times New Roman"/>
          <w:color w:val="242424"/>
          <w:lang w:val="it-IT" w:eastAsia="en-GB"/>
        </w:rPr>
        <w:t xml:space="preserve"> </w:t>
      </w:r>
      <w:proofErr w:type="spellStart"/>
      <w:r w:rsidR="0090328A" w:rsidRPr="00905D01">
        <w:rPr>
          <w:rFonts w:ascii="Times New Roman" w:eastAsia="Times New Roman" w:hAnsi="Times New Roman" w:cs="Times New Roman"/>
          <w:color w:val="242424"/>
          <w:lang w:val="it-IT" w:eastAsia="en-GB"/>
        </w:rPr>
        <w:t>L</w:t>
      </w:r>
      <w:r w:rsidRPr="00905D01">
        <w:rPr>
          <w:rFonts w:ascii="Times New Roman" w:eastAsia="Times New Roman" w:hAnsi="Times New Roman" w:cs="Times New Roman"/>
          <w:color w:val="242424"/>
          <w:lang w:val="it-IT" w:eastAsia="en-GB"/>
        </w:rPr>
        <w:t>aw</w:t>
      </w:r>
      <w:proofErr w:type="spellEnd"/>
      <w:r w:rsidR="0090328A" w:rsidRPr="00905D01">
        <w:rPr>
          <w:rFonts w:ascii="Times New Roman" w:eastAsia="Times New Roman" w:hAnsi="Times New Roman" w:cs="Times New Roman"/>
          <w:color w:val="242424"/>
          <w:lang w:val="it-IT" w:eastAsia="en-GB"/>
        </w:rPr>
        <w:t xml:space="preserve"> J</w:t>
      </w:r>
      <w:r w:rsidRPr="00905D01">
        <w:rPr>
          <w:rFonts w:ascii="Times New Roman" w:eastAsia="Times New Roman" w:hAnsi="Times New Roman" w:cs="Times New Roman"/>
          <w:color w:val="242424"/>
          <w:lang w:val="it-IT" w:eastAsia="en-GB"/>
        </w:rPr>
        <w:t>ournal</w:t>
      </w:r>
      <w:r w:rsidR="0090328A" w:rsidRPr="00905D01">
        <w:rPr>
          <w:rFonts w:ascii="Times New Roman" w:eastAsia="Times New Roman" w:hAnsi="Times New Roman" w:cs="Times New Roman"/>
          <w:color w:val="242424"/>
          <w:lang w:val="it-IT" w:eastAsia="en-GB"/>
        </w:rPr>
        <w:t xml:space="preserve"> 2023</w:t>
      </w:r>
      <w:r w:rsidR="009544D2" w:rsidRPr="00905D01">
        <w:rPr>
          <w:rFonts w:ascii="Times New Roman" w:eastAsia="Times New Roman" w:hAnsi="Times New Roman" w:cs="Times New Roman"/>
          <w:color w:val="242424"/>
          <w:lang w:val="it-IT" w:eastAsia="en-GB"/>
        </w:rPr>
        <w:t>,</w:t>
      </w:r>
      <w:r w:rsidR="0090328A" w:rsidRPr="00905D01">
        <w:rPr>
          <w:rFonts w:ascii="Times New Roman" w:eastAsia="Times New Roman" w:hAnsi="Times New Roman" w:cs="Times New Roman"/>
          <w:color w:val="242424"/>
          <w:lang w:val="it-IT" w:eastAsia="en-GB"/>
        </w:rPr>
        <w:t xml:space="preserve"> 151 ff.</w:t>
      </w:r>
      <w:r w:rsidRPr="00905D01">
        <w:rPr>
          <w:rFonts w:ascii="Times New Roman" w:eastAsia="Times New Roman" w:hAnsi="Times New Roman" w:cs="Times New Roman"/>
          <w:color w:val="242424"/>
          <w:lang w:val="it-IT" w:eastAsia="en-GB"/>
        </w:rPr>
        <w:t xml:space="preserve"> </w:t>
      </w:r>
      <w:bookmarkEnd w:id="7"/>
    </w:p>
  </w:footnote>
  <w:footnote w:id="36">
    <w:p w14:paraId="01690B62" w14:textId="1362DC13" w:rsidR="0050181B" w:rsidRPr="0050181B" w:rsidRDefault="0059586E" w:rsidP="0050181B">
      <w:pPr>
        <w:shd w:val="clear" w:color="auto" w:fill="FFFFFF"/>
        <w:spacing w:after="0" w:line="240" w:lineRule="auto"/>
        <w:textAlignment w:val="baseline"/>
        <w:rPr>
          <w:rFonts w:ascii="Times New Roman" w:hAnsi="Times New Roman" w:cs="Times New Roman"/>
          <w:lang w:val="it-IT"/>
        </w:rPr>
      </w:pPr>
      <w:r w:rsidRPr="00905D01">
        <w:rPr>
          <w:rStyle w:val="FootnoteReference"/>
          <w:rFonts w:ascii="Times New Roman" w:hAnsi="Times New Roman" w:cs="Times New Roman"/>
        </w:rPr>
        <w:footnoteRef/>
      </w:r>
      <w:r w:rsidRPr="0050181B">
        <w:rPr>
          <w:rFonts w:ascii="Times New Roman" w:hAnsi="Times New Roman" w:cs="Times New Roman"/>
          <w:lang w:val="it-IT"/>
        </w:rPr>
        <w:t xml:space="preserve"> </w:t>
      </w:r>
      <w:r w:rsidR="0050181B">
        <w:rPr>
          <w:rFonts w:ascii="Times New Roman" w:hAnsi="Times New Roman" w:cs="Times New Roman"/>
          <w:lang w:val="it-IT"/>
        </w:rPr>
        <w:t xml:space="preserve"> </w:t>
      </w:r>
      <w:proofErr w:type="spellStart"/>
      <w:r w:rsidR="0050181B">
        <w:rPr>
          <w:rFonts w:ascii="Times New Roman" w:hAnsi="Times New Roman" w:cs="Times New Roman"/>
          <w:lang w:val="it-IT"/>
        </w:rPr>
        <w:t>Siehe</w:t>
      </w:r>
      <w:proofErr w:type="spellEnd"/>
      <w:r w:rsidR="0050181B">
        <w:rPr>
          <w:rFonts w:ascii="Times New Roman" w:hAnsi="Times New Roman" w:cs="Times New Roman"/>
          <w:lang w:val="it-IT"/>
        </w:rPr>
        <w:t xml:space="preserve"> </w:t>
      </w:r>
      <w:proofErr w:type="spellStart"/>
      <w:r w:rsidR="0050181B">
        <w:rPr>
          <w:rFonts w:ascii="Times New Roman" w:hAnsi="Times New Roman" w:cs="Times New Roman"/>
          <w:lang w:val="it-IT"/>
        </w:rPr>
        <w:t>weiteres</w:t>
      </w:r>
      <w:proofErr w:type="spellEnd"/>
      <w:r w:rsidR="0050181B">
        <w:rPr>
          <w:rFonts w:ascii="Times New Roman" w:hAnsi="Times New Roman" w:cs="Times New Roman"/>
          <w:lang w:val="it-IT"/>
        </w:rPr>
        <w:t xml:space="preserve"> </w:t>
      </w:r>
      <w:proofErr w:type="spellStart"/>
      <w:r w:rsidR="0050181B">
        <w:rPr>
          <w:rFonts w:ascii="Times New Roman" w:hAnsi="Times New Roman" w:cs="Times New Roman"/>
          <w:lang w:val="it-IT"/>
        </w:rPr>
        <w:t>dazu</w:t>
      </w:r>
      <w:proofErr w:type="spellEnd"/>
      <w:r w:rsidR="0050181B">
        <w:rPr>
          <w:rFonts w:ascii="Times New Roman" w:hAnsi="Times New Roman" w:cs="Times New Roman"/>
          <w:lang w:val="it-IT"/>
        </w:rPr>
        <w:t xml:space="preserve"> in </w:t>
      </w:r>
      <w:hyperlink r:id="rId3" w:history="1">
        <w:r w:rsidR="0050181B" w:rsidRPr="0050181B">
          <w:rPr>
            <w:rStyle w:val="Hyperlink"/>
            <w:rFonts w:ascii="Times New Roman" w:hAnsi="Times New Roman" w:cs="Times New Roman"/>
            <w:color w:val="auto"/>
            <w:u w:val="none"/>
            <w:lang w:val="it-IT"/>
          </w:rPr>
          <w:t>https://www.cambridge.org/core/journals/german-law-journal/article/eu-trade-agendarules-on-state-intervention-in-the-market/6710BADC6387F68B020EB4888845EE59</w:t>
        </w:r>
      </w:hyperlink>
    </w:p>
    <w:p w14:paraId="5F8E0351" w14:textId="35E6629A" w:rsidR="00ED0D22" w:rsidRPr="00ED0D22" w:rsidRDefault="00EB745F" w:rsidP="00ED0D22">
      <w:pPr>
        <w:shd w:val="clear" w:color="auto" w:fill="FFFFFF"/>
        <w:spacing w:after="0" w:line="240" w:lineRule="auto"/>
        <w:textAlignment w:val="baseline"/>
        <w:rPr>
          <w:rFonts w:ascii="Times New Roman" w:hAnsi="Times New Roman" w:cs="Times New Roman"/>
        </w:rPr>
      </w:pPr>
      <w:proofErr w:type="spellStart"/>
      <w:r w:rsidRPr="00ED0D22">
        <w:rPr>
          <w:rFonts w:ascii="Times New Roman" w:hAnsi="Times New Roman" w:cs="Times New Roman"/>
        </w:rPr>
        <w:t>erle</w:t>
      </w:r>
      <w:r>
        <w:rPr>
          <w:rFonts w:ascii="Times New Roman" w:hAnsi="Times New Roman" w:cs="Times New Roman"/>
        </w:rPr>
        <w:t>che</w:t>
      </w:r>
      <w:proofErr w:type="spellEnd"/>
      <w:r w:rsidR="00ED0D22" w:rsidRPr="00ED0D22">
        <w:rPr>
          <w:rFonts w:ascii="Times New Roman" w:hAnsi="Times New Roman" w:cs="Times New Roman"/>
        </w:rPr>
        <w:t xml:space="preserve"> The EU Trade Agenda—Rules on State Intervention in the Market</w:t>
      </w:r>
    </w:p>
    <w:p w14:paraId="58BAC894" w14:textId="74616605" w:rsidR="0050181B" w:rsidRPr="00514317" w:rsidRDefault="00ED0D22" w:rsidP="0050181B">
      <w:pPr>
        <w:shd w:val="clear" w:color="auto" w:fill="FFFFFF"/>
        <w:spacing w:after="0" w:line="240" w:lineRule="auto"/>
        <w:textAlignment w:val="baseline"/>
        <w:rPr>
          <w:rFonts w:ascii="Times New Roman" w:hAnsi="Times New Roman" w:cs="Times New Roman"/>
        </w:rPr>
      </w:pPr>
      <w:r w:rsidRPr="00ED0D22">
        <w:rPr>
          <w:rFonts w:ascii="Times New Roman" w:hAnsi="Times New Roman" w:cs="Times New Roman"/>
        </w:rPr>
        <w:t>Published online by Cambridge University Press</w:t>
      </w:r>
      <w:r w:rsidR="0050181B">
        <w:rPr>
          <w:rFonts w:ascii="Times New Roman" w:hAnsi="Times New Roman" w:cs="Times New Roman"/>
        </w:rPr>
        <w:t>-</w:t>
      </w:r>
      <w:proofErr w:type="spellStart"/>
      <w:r w:rsidRPr="00514317">
        <w:rPr>
          <w:rFonts w:ascii="Times New Roman" w:hAnsi="Times New Roman" w:cs="Times New Roman"/>
        </w:rPr>
        <w:t>Nerina</w:t>
      </w:r>
      <w:proofErr w:type="spellEnd"/>
      <w:r w:rsidRPr="00514317">
        <w:rPr>
          <w:rFonts w:ascii="Times New Roman" w:hAnsi="Times New Roman" w:cs="Times New Roman"/>
        </w:rPr>
        <w:t xml:space="preserve"> </w:t>
      </w:r>
      <w:proofErr w:type="spellStart"/>
      <w:r w:rsidRPr="00514317">
        <w:rPr>
          <w:rFonts w:ascii="Times New Roman" w:hAnsi="Times New Roman" w:cs="Times New Roman"/>
        </w:rPr>
        <w:t>Boschiero</w:t>
      </w:r>
      <w:proofErr w:type="spellEnd"/>
      <w:r w:rsidRPr="00514317">
        <w:rPr>
          <w:rFonts w:ascii="Times New Roman" w:hAnsi="Times New Roman" w:cs="Times New Roman"/>
        </w:rPr>
        <w:t xml:space="preserve"> and</w:t>
      </w:r>
      <w:r w:rsidR="0050181B" w:rsidRPr="0050181B">
        <w:rPr>
          <w:rFonts w:ascii="Times New Roman" w:hAnsi="Times New Roman" w:cs="Times New Roman"/>
        </w:rPr>
        <w:t xml:space="preserve"> </w:t>
      </w:r>
      <w:r w:rsidR="0050181B" w:rsidRPr="00514317">
        <w:rPr>
          <w:rFonts w:ascii="Times New Roman" w:hAnsi="Times New Roman" w:cs="Times New Roman"/>
        </w:rPr>
        <w:t xml:space="preserve">Stefano </w:t>
      </w:r>
      <w:proofErr w:type="spellStart"/>
      <w:r w:rsidR="0050181B" w:rsidRPr="00514317">
        <w:rPr>
          <w:rFonts w:ascii="Times New Roman" w:hAnsi="Times New Roman" w:cs="Times New Roman"/>
        </w:rPr>
        <w:t>Silingardi</w:t>
      </w:r>
      <w:proofErr w:type="spellEnd"/>
    </w:p>
    <w:p w14:paraId="3AC0CE85" w14:textId="1B601CAE" w:rsidR="0059586E" w:rsidRPr="00905D01" w:rsidRDefault="00613621" w:rsidP="00ED0D22">
      <w:pPr>
        <w:shd w:val="clear" w:color="auto" w:fill="FFFFFF"/>
        <w:spacing w:after="0" w:line="240" w:lineRule="auto"/>
        <w:textAlignment w:val="baseline"/>
        <w:rPr>
          <w:rFonts w:ascii="Times New Roman" w:eastAsia="Times New Roman" w:hAnsi="Times New Roman" w:cs="Times New Roman"/>
          <w:color w:val="242424"/>
          <w:lang w:val="de-DE" w:eastAsia="en-GB"/>
        </w:rPr>
      </w:pPr>
      <w:r w:rsidRPr="00905D01">
        <w:rPr>
          <w:rFonts w:ascii="Times New Roman" w:hAnsi="Times New Roman" w:cs="Times New Roman"/>
          <w:lang w:val="de-DE"/>
        </w:rPr>
        <w:t>S</w:t>
      </w:r>
      <w:r w:rsidR="0059144F" w:rsidRPr="00905D01">
        <w:rPr>
          <w:rFonts w:ascii="Times New Roman" w:hAnsi="Times New Roman" w:cs="Times New Roman"/>
          <w:lang w:val="de-DE"/>
        </w:rPr>
        <w:t>ie</w:t>
      </w:r>
      <w:r w:rsidR="00012478" w:rsidRPr="00905D01">
        <w:rPr>
          <w:rFonts w:ascii="Times New Roman" w:hAnsi="Times New Roman" w:cs="Times New Roman"/>
          <w:lang w:val="de-DE"/>
        </w:rPr>
        <w:t>he</w:t>
      </w:r>
      <w:r w:rsidR="0059144F" w:rsidRPr="00905D01">
        <w:rPr>
          <w:rFonts w:ascii="Times New Roman" w:hAnsi="Times New Roman" w:cs="Times New Roman"/>
          <w:lang w:val="de-DE"/>
        </w:rPr>
        <w:t xml:space="preserve"> näheres dazu in</w:t>
      </w:r>
      <w:r w:rsidR="0059586E" w:rsidRPr="00905D01">
        <w:rPr>
          <w:rFonts w:ascii="Times New Roman" w:hAnsi="Times New Roman" w:cs="Times New Roman"/>
          <w:lang w:val="de-DE"/>
        </w:rPr>
        <w:t xml:space="preserve"> </w:t>
      </w:r>
      <w:r w:rsidR="00012478" w:rsidRPr="00905D01">
        <w:rPr>
          <w:rFonts w:ascii="Times New Roman" w:hAnsi="Times New Roman" w:cs="Times New Roman"/>
          <w:lang w:val="de-DE"/>
        </w:rPr>
        <w:t>C</w:t>
      </w:r>
      <w:r w:rsidR="0059586E" w:rsidRPr="00905D01">
        <w:rPr>
          <w:rFonts w:ascii="Times New Roman" w:eastAsia="Times New Roman" w:hAnsi="Times New Roman" w:cs="Times New Roman"/>
          <w:color w:val="242424"/>
          <w:lang w:val="de-DE" w:eastAsia="en-GB"/>
        </w:rPr>
        <w:t>lifford Chance</w:t>
      </w:r>
      <w:r w:rsidRPr="00905D01">
        <w:rPr>
          <w:rFonts w:ascii="Times New Roman" w:eastAsia="Times New Roman" w:hAnsi="Times New Roman" w:cs="Times New Roman"/>
          <w:color w:val="242424"/>
          <w:lang w:val="de-DE" w:eastAsia="en-GB"/>
        </w:rPr>
        <w:t xml:space="preserve"> https://www.cliffordchance.com (Staudamm 2022/11</w:t>
      </w:r>
    </w:p>
  </w:footnote>
  <w:footnote w:id="37">
    <w:p w14:paraId="39662A73" w14:textId="77777777" w:rsidR="00F43A79" w:rsidRPr="00550FD6" w:rsidRDefault="00F43A79" w:rsidP="00F43A79">
      <w:pPr>
        <w:shd w:val="clear" w:color="auto" w:fill="FFFFFF"/>
        <w:spacing w:after="0" w:line="240" w:lineRule="auto"/>
        <w:textAlignment w:val="baseline"/>
        <w:rPr>
          <w:rFonts w:ascii="Times New Roman" w:eastAsia="Times New Roman" w:hAnsi="Times New Roman" w:cs="Times New Roman"/>
          <w:color w:val="242424"/>
          <w:lang w:val="de-DE" w:eastAsia="en-GB"/>
        </w:rPr>
      </w:pPr>
      <w:r w:rsidRPr="00060EFA">
        <w:rPr>
          <w:rStyle w:val="FootnoteReference"/>
          <w:rFonts w:ascii="Times New Roman" w:hAnsi="Times New Roman" w:cs="Times New Roman"/>
        </w:rPr>
        <w:footnoteRef/>
      </w:r>
      <w:r w:rsidRPr="00060EFA">
        <w:rPr>
          <w:rFonts w:ascii="Times New Roman" w:hAnsi="Times New Roman" w:cs="Times New Roman"/>
          <w:lang w:val="de-DE"/>
        </w:rPr>
        <w:t xml:space="preserve"> </w:t>
      </w:r>
      <w:r w:rsidRPr="00060EFA">
        <w:rPr>
          <w:rFonts w:ascii="Times New Roman" w:eastAsia="Times New Roman" w:hAnsi="Times New Roman" w:cs="Times New Roman"/>
          <w:color w:val="242424"/>
          <w:lang w:val="de-DE" w:eastAsia="en-GB"/>
        </w:rPr>
        <w:t xml:space="preserve">Verordnung (EU) Nr. 978/2012 des Europäischen Parlaments und des Rates </w:t>
      </w:r>
      <w:r>
        <w:rPr>
          <w:rFonts w:ascii="Times New Roman" w:eastAsia="Times New Roman" w:hAnsi="Times New Roman" w:cs="Times New Roman"/>
          <w:color w:val="242424"/>
          <w:lang w:val="de-DE" w:eastAsia="en-GB"/>
        </w:rPr>
        <w:t xml:space="preserve">v. 25.10.2012 über ein Schema allgemeiner Zollpräferenzen und zur Aufhebung der Verordnung (EU) Nr. 732/2008 des Rates, </w:t>
      </w:r>
      <w:proofErr w:type="spellStart"/>
      <w:r>
        <w:rPr>
          <w:rFonts w:ascii="Times New Roman" w:eastAsia="Times New Roman" w:hAnsi="Times New Roman" w:cs="Times New Roman"/>
          <w:color w:val="242424"/>
          <w:lang w:val="de-DE" w:eastAsia="en-GB"/>
        </w:rPr>
        <w:t>ABl</w:t>
      </w:r>
      <w:proofErr w:type="spellEnd"/>
      <w:r>
        <w:rPr>
          <w:rFonts w:ascii="Times New Roman" w:eastAsia="Times New Roman" w:hAnsi="Times New Roman" w:cs="Times New Roman"/>
          <w:color w:val="242424"/>
          <w:lang w:val="de-DE" w:eastAsia="en-GB"/>
        </w:rPr>
        <w:t xml:space="preserve"> 2012 L 303/1; sowie die dazugehörige Durchführungsverordnung (EU) 2022/1039 der Kommission vom 29.06.2022 zur Festlegung der Regeln für die Anwendung der Verordnung </w:t>
      </w:r>
      <w:r w:rsidRPr="00060EFA">
        <w:rPr>
          <w:rFonts w:ascii="Times New Roman" w:eastAsia="Times New Roman" w:hAnsi="Times New Roman" w:cs="Times New Roman"/>
          <w:color w:val="242424"/>
          <w:lang w:val="de-DE" w:eastAsia="en-GB"/>
        </w:rPr>
        <w:t>(EU) Nr. 978/2012 des Europäischen Parlaments und des Rates hinsichtlich der Aussetzung bestimmter Zollpräferenzen, die bestimmten APS-begünstigten Ländern gewährt wurden</w:t>
      </w:r>
      <w:r>
        <w:rPr>
          <w:rFonts w:ascii="Times New Roman" w:eastAsia="Times New Roman" w:hAnsi="Times New Roman" w:cs="Times New Roman"/>
          <w:color w:val="242424"/>
          <w:lang w:val="de-DE" w:eastAsia="en-GB"/>
        </w:rPr>
        <w:t xml:space="preserve">, für das Jahr 2023, </w:t>
      </w:r>
      <w:proofErr w:type="spellStart"/>
      <w:r>
        <w:rPr>
          <w:rFonts w:ascii="Times New Roman" w:eastAsia="Times New Roman" w:hAnsi="Times New Roman" w:cs="Times New Roman"/>
          <w:color w:val="242424"/>
          <w:lang w:val="de-DE" w:eastAsia="en-GB"/>
        </w:rPr>
        <w:t>ABl</w:t>
      </w:r>
      <w:proofErr w:type="spellEnd"/>
      <w:r>
        <w:rPr>
          <w:rFonts w:ascii="Times New Roman" w:eastAsia="Times New Roman" w:hAnsi="Times New Roman" w:cs="Times New Roman"/>
          <w:color w:val="242424"/>
          <w:lang w:val="de-DE" w:eastAsia="en-GB"/>
        </w:rPr>
        <w:t xml:space="preserve"> 2022 L 173/58</w:t>
      </w:r>
      <w:r w:rsidRPr="00060EFA">
        <w:rPr>
          <w:rFonts w:ascii="Times New Roman" w:eastAsia="Times New Roman" w:hAnsi="Times New Roman" w:cs="Times New Roman"/>
          <w:color w:val="242424"/>
          <w:lang w:val="de-DE" w:eastAsia="en-GB"/>
        </w:rPr>
        <w:t>.</w:t>
      </w:r>
    </w:p>
  </w:footnote>
  <w:footnote w:id="38">
    <w:p w14:paraId="1F774F9A" w14:textId="77777777" w:rsidR="00F43A79" w:rsidRDefault="00F43A79" w:rsidP="00F43A79">
      <w:pPr>
        <w:shd w:val="clear" w:color="auto" w:fill="FFFFFF"/>
        <w:spacing w:after="0" w:line="240" w:lineRule="auto"/>
        <w:textAlignment w:val="baseline"/>
        <w:rPr>
          <w:rFonts w:ascii="Times New Roman" w:eastAsia="Times New Roman" w:hAnsi="Times New Roman" w:cs="Times New Roman"/>
          <w:color w:val="242424"/>
          <w:highlight w:val="yellow"/>
          <w:lang w:val="de-DE" w:eastAsia="en-GB"/>
        </w:rPr>
      </w:pPr>
      <w:r w:rsidRPr="00060EFA">
        <w:rPr>
          <w:rStyle w:val="FootnoteReference"/>
          <w:rFonts w:ascii="Times New Roman" w:hAnsi="Times New Roman" w:cs="Times New Roman"/>
        </w:rPr>
        <w:footnoteRef/>
      </w:r>
      <w:r w:rsidRPr="00060EFA">
        <w:rPr>
          <w:rFonts w:ascii="Times New Roman" w:hAnsi="Times New Roman" w:cs="Times New Roman"/>
          <w:lang w:val="de-DE"/>
        </w:rPr>
        <w:t xml:space="preserve"> </w:t>
      </w:r>
      <w:r>
        <w:rPr>
          <w:rFonts w:ascii="Times New Roman" w:eastAsia="Times New Roman" w:hAnsi="Times New Roman" w:cs="Times New Roman"/>
          <w:color w:val="242424"/>
          <w:lang w:val="de-DE" w:eastAsia="en-GB"/>
        </w:rPr>
        <w:t xml:space="preserve">Durchführungsverordnung (EU) 2022/1039 der Kommission vom 29.06.2022 zur Festlegung der Regeln für die Anwendung der Verordnung </w:t>
      </w:r>
      <w:r w:rsidRPr="00060EFA">
        <w:rPr>
          <w:rFonts w:ascii="Times New Roman" w:eastAsia="Times New Roman" w:hAnsi="Times New Roman" w:cs="Times New Roman"/>
          <w:color w:val="242424"/>
          <w:lang w:val="de-DE" w:eastAsia="en-GB"/>
        </w:rPr>
        <w:t>(EU) Nr. 978/2012 des Europäischen Parlaments und des Rates hinsichtlich der Aussetzung bestimmter Zollpräferenzen, die bestimmten APS-begünstigten Ländern gewährt wurden</w:t>
      </w:r>
      <w:r>
        <w:rPr>
          <w:rFonts w:ascii="Times New Roman" w:eastAsia="Times New Roman" w:hAnsi="Times New Roman" w:cs="Times New Roman"/>
          <w:color w:val="242424"/>
          <w:lang w:val="de-DE" w:eastAsia="en-GB"/>
        </w:rPr>
        <w:t xml:space="preserve">, für das Jahr 2023, </w:t>
      </w:r>
      <w:proofErr w:type="spellStart"/>
      <w:r>
        <w:rPr>
          <w:rFonts w:ascii="Times New Roman" w:eastAsia="Times New Roman" w:hAnsi="Times New Roman" w:cs="Times New Roman"/>
          <w:color w:val="242424"/>
          <w:lang w:val="de-DE" w:eastAsia="en-GB"/>
        </w:rPr>
        <w:t>ABl</w:t>
      </w:r>
      <w:proofErr w:type="spellEnd"/>
      <w:r>
        <w:rPr>
          <w:rFonts w:ascii="Times New Roman" w:eastAsia="Times New Roman" w:hAnsi="Times New Roman" w:cs="Times New Roman"/>
          <w:color w:val="242424"/>
          <w:lang w:val="de-DE" w:eastAsia="en-GB"/>
        </w:rPr>
        <w:t xml:space="preserve"> 2022 L 173/58</w:t>
      </w:r>
      <w:r w:rsidRPr="00060EFA">
        <w:rPr>
          <w:rFonts w:ascii="Times New Roman" w:eastAsia="Times New Roman" w:hAnsi="Times New Roman" w:cs="Times New Roman"/>
          <w:color w:val="242424"/>
          <w:lang w:val="de-DE" w:eastAsia="en-GB"/>
        </w:rPr>
        <w:t>.</w:t>
      </w:r>
      <w:r>
        <w:rPr>
          <w:rFonts w:ascii="Times New Roman" w:eastAsia="Times New Roman" w:hAnsi="Times New Roman" w:cs="Times New Roman"/>
          <w:color w:val="242424"/>
          <w:lang w:val="de-DE" w:eastAsia="en-GB"/>
        </w:rPr>
        <w:t xml:space="preserve"> </w:t>
      </w:r>
    </w:p>
    <w:p w14:paraId="3F3587E9" w14:textId="77777777" w:rsidR="00F43A79" w:rsidRPr="00060EFA" w:rsidRDefault="00F43A79" w:rsidP="00F43A79">
      <w:pPr>
        <w:shd w:val="clear" w:color="auto" w:fill="FFFFFF"/>
        <w:spacing w:after="0" w:line="240" w:lineRule="auto"/>
        <w:textAlignment w:val="baseline"/>
        <w:rPr>
          <w:rFonts w:ascii="Times New Roman" w:hAnsi="Times New Roman" w:cs="Times New Roman"/>
          <w:lang w:val="de-DE"/>
        </w:rPr>
      </w:pPr>
      <w:r w:rsidRPr="00CD3013">
        <w:rPr>
          <w:rFonts w:ascii="Times New Roman" w:eastAsia="Times New Roman" w:hAnsi="Times New Roman" w:cs="Times New Roman"/>
          <w:color w:val="242424"/>
          <w:lang w:val="de-DE" w:eastAsia="en-GB"/>
        </w:rPr>
        <w:t>Die Durchführungsverordnung ü</w:t>
      </w:r>
      <w:r>
        <w:rPr>
          <w:rFonts w:ascii="Times New Roman" w:eastAsia="Times New Roman" w:hAnsi="Times New Roman" w:cs="Times New Roman"/>
          <w:color w:val="242424"/>
          <w:lang w:val="de-DE" w:eastAsia="en-GB"/>
        </w:rPr>
        <w:t xml:space="preserve">berträgt </w:t>
      </w:r>
      <w:r w:rsidRPr="00CD3013">
        <w:rPr>
          <w:rFonts w:ascii="Times New Roman" w:eastAsia="Times New Roman" w:hAnsi="Times New Roman" w:cs="Times New Roman"/>
          <w:color w:val="242424"/>
          <w:lang w:val="de-DE" w:eastAsia="en-GB"/>
        </w:rPr>
        <w:t>der Kommission die ausschließliche Zuständigkeit für die Beurteilung des Vorliegens verzerrender drittstaatlicher Subventionen bei Transaktionen und öffentlichen Transaktione</w:t>
      </w:r>
      <w:r>
        <w:rPr>
          <w:rFonts w:ascii="Times New Roman" w:eastAsia="Times New Roman" w:hAnsi="Times New Roman" w:cs="Times New Roman"/>
          <w:color w:val="242424"/>
          <w:lang w:val="de-DE" w:eastAsia="en-GB"/>
        </w:rPr>
        <w:t>n.</w:t>
      </w:r>
    </w:p>
  </w:footnote>
  <w:footnote w:id="39">
    <w:p w14:paraId="03ABBBA2" w14:textId="77777777" w:rsidR="00F43A79" w:rsidRPr="002D602B" w:rsidRDefault="00F43A79" w:rsidP="00F43A79">
      <w:pPr>
        <w:spacing w:after="0" w:line="240" w:lineRule="auto"/>
        <w:rPr>
          <w:rFonts w:ascii="Times New Roman" w:eastAsia="Times New Roman" w:hAnsi="Times New Roman" w:cs="Times New Roman"/>
          <w:color w:val="242424"/>
          <w:lang w:val="de-DE" w:eastAsia="en-GB"/>
        </w:rPr>
      </w:pPr>
      <w:r w:rsidRPr="00060EFA">
        <w:rPr>
          <w:rStyle w:val="FootnoteReference"/>
          <w:rFonts w:ascii="Times New Roman" w:hAnsi="Times New Roman" w:cs="Times New Roman"/>
        </w:rPr>
        <w:footnoteRef/>
      </w:r>
      <w:r w:rsidRPr="00060EFA">
        <w:rPr>
          <w:rFonts w:ascii="Times New Roman" w:hAnsi="Times New Roman" w:cs="Times New Roman"/>
          <w:lang w:val="de-DE"/>
        </w:rPr>
        <w:t xml:space="preserve"> </w:t>
      </w:r>
      <w:proofErr w:type="spellStart"/>
      <w:r w:rsidRPr="002D602B">
        <w:rPr>
          <w:rFonts w:ascii="Times New Roman" w:hAnsi="Times New Roman" w:cs="Times New Roman"/>
          <w:i/>
          <w:iCs/>
          <w:lang w:val="de-DE"/>
        </w:rPr>
        <w:t>Bungenberg</w:t>
      </w:r>
      <w:proofErr w:type="spellEnd"/>
      <w:r w:rsidRPr="002D602B">
        <w:rPr>
          <w:rFonts w:ascii="Times New Roman" w:hAnsi="Times New Roman" w:cs="Times New Roman"/>
          <w:i/>
          <w:iCs/>
          <w:lang w:val="de-DE"/>
        </w:rPr>
        <w:t>/</w:t>
      </w:r>
      <w:proofErr w:type="spellStart"/>
      <w:r w:rsidRPr="002D602B">
        <w:rPr>
          <w:rFonts w:ascii="Times New Roman" w:hAnsi="Times New Roman" w:cs="Times New Roman"/>
          <w:i/>
          <w:iCs/>
          <w:lang w:val="de-DE"/>
        </w:rPr>
        <w:t>Schelhaas</w:t>
      </w:r>
      <w:proofErr w:type="spellEnd"/>
      <w:r>
        <w:rPr>
          <w:rFonts w:ascii="Times New Roman" w:hAnsi="Times New Roman" w:cs="Times New Roman"/>
          <w:lang w:val="de-DE"/>
        </w:rPr>
        <w:t xml:space="preserve">, Jahrbuch Beihilferecht 2017, 591 ff. </w:t>
      </w:r>
    </w:p>
  </w:footnote>
  <w:footnote w:id="40">
    <w:p w14:paraId="7D37AC50" w14:textId="7BCC88B6" w:rsidR="0059586E" w:rsidRPr="00905D01" w:rsidRDefault="0059586E" w:rsidP="0059586E">
      <w:pPr>
        <w:pStyle w:val="FootnoteText"/>
        <w:tabs>
          <w:tab w:val="left" w:pos="555"/>
        </w:tabs>
        <w:rPr>
          <w:rFonts w:ascii="Times New Roman" w:hAnsi="Times New Roman" w:cs="Times New Roman"/>
          <w:sz w:val="22"/>
          <w:szCs w:val="22"/>
          <w:lang w:val="de-DE"/>
        </w:rPr>
      </w:pPr>
      <w:r w:rsidRPr="00905D01">
        <w:rPr>
          <w:rStyle w:val="FootnoteReference"/>
          <w:rFonts w:ascii="Times New Roman" w:hAnsi="Times New Roman" w:cs="Times New Roman"/>
          <w:sz w:val="22"/>
          <w:szCs w:val="22"/>
        </w:rPr>
        <w:footnoteRef/>
      </w:r>
      <w:r w:rsidRPr="00905D01">
        <w:rPr>
          <w:rFonts w:ascii="Times New Roman" w:hAnsi="Times New Roman" w:cs="Times New Roman"/>
          <w:sz w:val="22"/>
          <w:szCs w:val="22"/>
          <w:lang w:val="de-DE"/>
        </w:rPr>
        <w:t xml:space="preserve"> Das Freihandelsabkommen EU-Schweiz von </w:t>
      </w:r>
      <w:r w:rsidRPr="005571E3">
        <w:rPr>
          <w:rFonts w:ascii="Times New Roman" w:hAnsi="Times New Roman" w:cs="Times New Roman"/>
          <w:sz w:val="22"/>
          <w:szCs w:val="22"/>
          <w:lang w:val="de-DE"/>
        </w:rPr>
        <w:t>1972</w:t>
      </w:r>
      <w:r w:rsidRPr="00905D01">
        <w:rPr>
          <w:rFonts w:ascii="Times New Roman" w:hAnsi="Times New Roman" w:cs="Times New Roman"/>
          <w:sz w:val="22"/>
          <w:szCs w:val="22"/>
          <w:lang w:val="de-DE"/>
        </w:rPr>
        <w:t xml:space="preserve"> (FHA 72) war eines der ersten zwischen der EU und der Schweiz </w:t>
      </w:r>
      <w:r w:rsidR="00ED0D22">
        <w:rPr>
          <w:rFonts w:ascii="Times New Roman" w:hAnsi="Times New Roman" w:cs="Times New Roman"/>
          <w:sz w:val="22"/>
          <w:szCs w:val="22"/>
          <w:lang w:val="de-DE"/>
        </w:rPr>
        <w:t>und verfolgte das</w:t>
      </w:r>
      <w:r w:rsidRPr="00905D01">
        <w:rPr>
          <w:rFonts w:ascii="Times New Roman" w:hAnsi="Times New Roman" w:cs="Times New Roman"/>
          <w:sz w:val="22"/>
          <w:szCs w:val="22"/>
          <w:lang w:val="de-DE"/>
        </w:rPr>
        <w:t xml:space="preserve"> Ziel, einen freien Markt herzustellen.</w:t>
      </w:r>
      <w:r w:rsidR="00012478" w:rsidRPr="00905D01">
        <w:rPr>
          <w:rFonts w:ascii="Times New Roman" w:hAnsi="Times New Roman" w:cs="Times New Roman"/>
          <w:sz w:val="22"/>
          <w:szCs w:val="22"/>
          <w:lang w:val="de-DE"/>
        </w:rPr>
        <w:t xml:space="preserve"> </w:t>
      </w:r>
    </w:p>
  </w:footnote>
  <w:footnote w:id="41">
    <w:p w14:paraId="4B062583" w14:textId="57C28708" w:rsidR="00866DBB" w:rsidRPr="002D602B" w:rsidRDefault="00866DBB" w:rsidP="00D928FF">
      <w:pPr>
        <w:spacing w:after="0" w:line="240" w:lineRule="auto"/>
        <w:rPr>
          <w:rFonts w:ascii="Times New Roman" w:hAnsi="Times New Roman" w:cs="Times New Roman"/>
          <w:lang w:val="de-DE"/>
        </w:rPr>
      </w:pPr>
      <w:r w:rsidRPr="00060EFA">
        <w:rPr>
          <w:rStyle w:val="FootnoteReference"/>
          <w:rFonts w:ascii="Times New Roman" w:hAnsi="Times New Roman" w:cs="Times New Roman"/>
        </w:rPr>
        <w:footnoteRef/>
      </w:r>
      <w:r w:rsidRPr="002D602B">
        <w:rPr>
          <w:rFonts w:ascii="Times New Roman" w:hAnsi="Times New Roman" w:cs="Times New Roman"/>
          <w:lang w:val="de-DE"/>
        </w:rPr>
        <w:t xml:space="preserve"> </w:t>
      </w:r>
      <w:r w:rsidR="002D602B" w:rsidRPr="002D602B">
        <w:rPr>
          <w:rFonts w:ascii="Times New Roman" w:hAnsi="Times New Roman" w:cs="Times New Roman"/>
          <w:lang w:val="de-DE"/>
        </w:rPr>
        <w:t xml:space="preserve">Verordnung </w:t>
      </w:r>
      <w:r w:rsidRPr="002D602B">
        <w:rPr>
          <w:rFonts w:ascii="Times New Roman" w:hAnsi="Times New Roman" w:cs="Times New Roman"/>
          <w:lang w:val="de-DE"/>
        </w:rPr>
        <w:t xml:space="preserve">(EU) 2022/1031 </w:t>
      </w:r>
      <w:r w:rsidR="002D602B" w:rsidRPr="002D602B">
        <w:rPr>
          <w:rFonts w:ascii="Times New Roman" w:hAnsi="Times New Roman" w:cs="Times New Roman"/>
          <w:lang w:val="de-DE"/>
        </w:rPr>
        <w:t xml:space="preserve">des Europäischen </w:t>
      </w:r>
      <w:r w:rsidR="002D602B" w:rsidRPr="002D602B">
        <w:rPr>
          <w:rFonts w:ascii="Times New Roman" w:eastAsia="Times New Roman" w:hAnsi="Times New Roman" w:cs="Times New Roman"/>
          <w:color w:val="242424"/>
          <w:lang w:val="de-DE" w:eastAsia="en-GB"/>
        </w:rPr>
        <w:t xml:space="preserve">Parlaments und des Rates v. 23.06.2022 über den Zugang von Wirtschaftsteilnehmern, Waren und Dienstleistungen aus Drittländern zum Unionsmarkt für öffentliche Aufträge und Konzessionen und über die Verfahren zur Unterstützung von </w:t>
      </w:r>
      <w:r w:rsidR="002D602B">
        <w:rPr>
          <w:rFonts w:ascii="Times New Roman" w:eastAsia="Times New Roman" w:hAnsi="Times New Roman" w:cs="Times New Roman"/>
          <w:color w:val="242424"/>
          <w:lang w:val="de-DE" w:eastAsia="en-GB"/>
        </w:rPr>
        <w:t>Verhandlungen</w:t>
      </w:r>
      <w:r w:rsidR="003A6E7F">
        <w:rPr>
          <w:rFonts w:ascii="Times New Roman" w:eastAsia="Times New Roman" w:hAnsi="Times New Roman" w:cs="Times New Roman"/>
          <w:color w:val="242424"/>
          <w:lang w:val="de-DE" w:eastAsia="en-GB"/>
        </w:rPr>
        <w:t xml:space="preserve"> über den Zugang von Wirtschaftsteilnehmern, Waren und Dienstleistungen aus der Union zu den Märkten für öffentliche Aufträge und Konzessionen von Drittländern (Instrument betreffend das internationale Beschaffungswesen – IPI), </w:t>
      </w:r>
      <w:proofErr w:type="spellStart"/>
      <w:r w:rsidR="003A6E7F">
        <w:rPr>
          <w:rFonts w:ascii="Times New Roman" w:eastAsia="Times New Roman" w:hAnsi="Times New Roman" w:cs="Times New Roman"/>
          <w:color w:val="242424"/>
          <w:lang w:val="de-DE" w:eastAsia="en-GB"/>
        </w:rPr>
        <w:t>ABl</w:t>
      </w:r>
      <w:proofErr w:type="spellEnd"/>
      <w:r w:rsidR="003A6E7F">
        <w:rPr>
          <w:rFonts w:ascii="Times New Roman" w:eastAsia="Times New Roman" w:hAnsi="Times New Roman" w:cs="Times New Roman"/>
          <w:color w:val="242424"/>
          <w:lang w:val="de-DE" w:eastAsia="en-GB"/>
        </w:rPr>
        <w:t xml:space="preserve"> 2022 L 173/1.</w:t>
      </w:r>
      <w:r w:rsidR="002D602B" w:rsidRPr="002D602B">
        <w:rPr>
          <w:rFonts w:ascii="Times New Roman" w:eastAsia="Times New Roman" w:hAnsi="Times New Roman" w:cs="Times New Roman"/>
          <w:color w:val="242424"/>
          <w:lang w:val="de-DE" w:eastAsia="en-GB"/>
        </w:rPr>
        <w:t xml:space="preserve"> </w:t>
      </w:r>
    </w:p>
  </w:footnote>
  <w:footnote w:id="42">
    <w:p w14:paraId="6274B569" w14:textId="1B783C8B" w:rsidR="00370E56" w:rsidRPr="00B50499" w:rsidRDefault="00370E56" w:rsidP="00D928FF">
      <w:pPr>
        <w:pStyle w:val="FootnoteText"/>
        <w:rPr>
          <w:rFonts w:ascii="Times New Roman" w:hAnsi="Times New Roman" w:cs="Times New Roman"/>
          <w:sz w:val="22"/>
          <w:szCs w:val="22"/>
          <w:lang w:val="de-DE"/>
        </w:rPr>
      </w:pPr>
      <w:r w:rsidRPr="00060EFA">
        <w:rPr>
          <w:rStyle w:val="FootnoteReference"/>
          <w:rFonts w:ascii="Times New Roman" w:hAnsi="Times New Roman" w:cs="Times New Roman"/>
          <w:sz w:val="22"/>
          <w:szCs w:val="22"/>
        </w:rPr>
        <w:footnoteRef/>
      </w:r>
      <w:r w:rsidRPr="00060EFA">
        <w:rPr>
          <w:rFonts w:ascii="Times New Roman" w:hAnsi="Times New Roman" w:cs="Times New Roman"/>
          <w:sz w:val="22"/>
          <w:szCs w:val="22"/>
          <w:lang w:val="de-DE"/>
        </w:rPr>
        <w:t xml:space="preserve"> Verordnung (EU) 2019/452 des Europäischen Parlaments und des Rates v</w:t>
      </w:r>
      <w:r w:rsidR="00B50499">
        <w:rPr>
          <w:rFonts w:ascii="Times New Roman" w:hAnsi="Times New Roman" w:cs="Times New Roman"/>
          <w:sz w:val="22"/>
          <w:szCs w:val="22"/>
          <w:lang w:val="de-DE"/>
        </w:rPr>
        <w:t>.</w:t>
      </w:r>
      <w:r w:rsidRPr="00060EFA">
        <w:rPr>
          <w:rFonts w:ascii="Times New Roman" w:hAnsi="Times New Roman" w:cs="Times New Roman"/>
          <w:sz w:val="22"/>
          <w:szCs w:val="22"/>
          <w:lang w:val="de-DE"/>
        </w:rPr>
        <w:t xml:space="preserve"> 19.</w:t>
      </w:r>
      <w:r w:rsidR="00B50499">
        <w:rPr>
          <w:rFonts w:ascii="Times New Roman" w:hAnsi="Times New Roman" w:cs="Times New Roman"/>
          <w:sz w:val="22"/>
          <w:szCs w:val="22"/>
          <w:lang w:val="de-DE"/>
        </w:rPr>
        <w:t>03.</w:t>
      </w:r>
      <w:r w:rsidRPr="00060EFA">
        <w:rPr>
          <w:rFonts w:ascii="Times New Roman" w:hAnsi="Times New Roman" w:cs="Times New Roman"/>
          <w:sz w:val="22"/>
          <w:szCs w:val="22"/>
          <w:lang w:val="de-DE"/>
        </w:rPr>
        <w:t>2019 zur Schaffung eines Rahmens für die Überprüfung ausländischer Direktinvestitionen in der Union</w:t>
      </w:r>
      <w:r w:rsidR="00B50499">
        <w:rPr>
          <w:rFonts w:ascii="Times New Roman" w:hAnsi="Times New Roman" w:cs="Times New Roman"/>
          <w:sz w:val="22"/>
          <w:szCs w:val="22"/>
          <w:lang w:val="de-DE"/>
        </w:rPr>
        <w:t xml:space="preserve">, </w:t>
      </w:r>
      <w:proofErr w:type="spellStart"/>
      <w:r w:rsidR="00B50499">
        <w:rPr>
          <w:rFonts w:ascii="Times New Roman" w:hAnsi="Times New Roman" w:cs="Times New Roman"/>
          <w:sz w:val="22"/>
          <w:szCs w:val="22"/>
          <w:lang w:val="de-DE"/>
        </w:rPr>
        <w:t>ABl</w:t>
      </w:r>
      <w:proofErr w:type="spellEnd"/>
      <w:r w:rsidR="00B50499">
        <w:rPr>
          <w:rFonts w:ascii="Times New Roman" w:hAnsi="Times New Roman" w:cs="Times New Roman"/>
          <w:sz w:val="22"/>
          <w:szCs w:val="22"/>
          <w:lang w:val="de-DE"/>
        </w:rPr>
        <w:t xml:space="preserve"> 2019 L 79 I/1.</w:t>
      </w:r>
    </w:p>
  </w:footnote>
  <w:footnote w:id="43">
    <w:p w14:paraId="4962A75B" w14:textId="31A0549F" w:rsidR="00ED2311" w:rsidRPr="00ED2311" w:rsidRDefault="00ED2311">
      <w:pPr>
        <w:pStyle w:val="FootnoteText"/>
        <w:rPr>
          <w:lang w:val="de-DE"/>
        </w:rPr>
      </w:pPr>
      <w:r>
        <w:rPr>
          <w:rStyle w:val="FootnoteReference"/>
        </w:rPr>
        <w:footnoteRef/>
      </w:r>
      <w:r w:rsidRPr="00ED2311">
        <w:rPr>
          <w:lang w:val="de-DE"/>
        </w:rPr>
        <w:t xml:space="preserve"> Dazu ausführlich unter https://www.wto.org/english/tratop_e/scm_e/subs_e.htm, zuletzt abgerufen am 27.12.2023</w:t>
      </w:r>
    </w:p>
  </w:footnote>
  <w:footnote w:id="44">
    <w:p w14:paraId="47CA33A6" w14:textId="0330D1E9" w:rsidR="00ED2311" w:rsidRPr="00ED2311" w:rsidRDefault="00ED2311">
      <w:pPr>
        <w:pStyle w:val="FootnoteText"/>
        <w:rPr>
          <w:lang w:val="de-DE"/>
        </w:rPr>
      </w:pPr>
      <w:r>
        <w:rPr>
          <w:rStyle w:val="FootnoteReference"/>
        </w:rPr>
        <w:footnoteRef/>
      </w:r>
      <w:r w:rsidRPr="00ED2311">
        <w:rPr>
          <w:lang w:val="de-DE"/>
        </w:rPr>
        <w:t xml:space="preserve"> Dazu ausführlich unter https://www.wto.org/english/tratop_e/scm_e/subs_e.htm, zuletzt abgerufen am 27.12.2023</w:t>
      </w:r>
    </w:p>
  </w:footnote>
  <w:footnote w:id="45">
    <w:p w14:paraId="7CF7C428" w14:textId="660004AC" w:rsidR="00866DBB" w:rsidRPr="004453F4" w:rsidRDefault="00866DBB" w:rsidP="00866DBB">
      <w:pPr>
        <w:pStyle w:val="FootnoteText"/>
        <w:rPr>
          <w:rFonts w:ascii="Times New Roman" w:eastAsia="Times New Roman" w:hAnsi="Times New Roman" w:cs="Times New Roman"/>
          <w:color w:val="242424"/>
          <w:sz w:val="22"/>
          <w:szCs w:val="22"/>
          <w:lang w:val="de-DE" w:eastAsia="en-GB"/>
        </w:rPr>
      </w:pPr>
      <w:r w:rsidRPr="00F740A1">
        <w:rPr>
          <w:rFonts w:ascii="Times New Roman" w:eastAsia="Times New Roman" w:hAnsi="Times New Roman" w:cs="Times New Roman"/>
          <w:color w:val="242424"/>
          <w:sz w:val="22"/>
          <w:szCs w:val="22"/>
          <w:vertAlign w:val="superscript"/>
          <w:lang w:val="de-DE" w:eastAsia="en-GB"/>
        </w:rPr>
        <w:footnoteRef/>
      </w:r>
      <w:r w:rsidRPr="00F04FDA">
        <w:rPr>
          <w:rFonts w:ascii="Times New Roman" w:eastAsia="Times New Roman" w:hAnsi="Times New Roman" w:cs="Times New Roman"/>
          <w:color w:val="242424"/>
          <w:sz w:val="22"/>
          <w:szCs w:val="22"/>
          <w:vertAlign w:val="superscript"/>
          <w:lang w:val="de-AT" w:eastAsia="en-GB"/>
        </w:rPr>
        <w:t xml:space="preserve"> </w:t>
      </w:r>
      <w:r w:rsidR="00F04FDA" w:rsidRPr="00F04FDA">
        <w:rPr>
          <w:rFonts w:ascii="Times New Roman" w:eastAsia="Times New Roman" w:hAnsi="Times New Roman" w:cs="Times New Roman"/>
          <w:color w:val="242424"/>
          <w:sz w:val="22"/>
          <w:szCs w:val="22"/>
          <w:lang w:val="de-AT" w:eastAsia="en-GB"/>
        </w:rPr>
        <w:t>WTO-Übereinkommen über Subventionen und Ausgleichsmaßnahmen (</w:t>
      </w:r>
      <w:r w:rsidR="005443CE">
        <w:rPr>
          <w:rFonts w:ascii="Times New Roman" w:eastAsia="Times New Roman" w:hAnsi="Times New Roman" w:cs="Times New Roman"/>
          <w:color w:val="242424"/>
          <w:sz w:val="22"/>
          <w:szCs w:val="22"/>
          <w:lang w:val="de-AT" w:eastAsia="en-GB"/>
        </w:rPr>
        <w:t>A</w:t>
      </w:r>
      <w:r w:rsidR="00F04FDA" w:rsidRPr="00F04FDA">
        <w:rPr>
          <w:rFonts w:ascii="Times New Roman" w:eastAsia="Times New Roman" w:hAnsi="Times New Roman" w:cs="Times New Roman"/>
          <w:color w:val="242424"/>
          <w:sz w:val="22"/>
          <w:szCs w:val="22"/>
          <w:lang w:val="de-AT" w:eastAsia="en-GB"/>
        </w:rPr>
        <w:t>SCM) v. 01.01.1995.</w:t>
      </w:r>
      <w:r w:rsidRPr="00F04FDA">
        <w:rPr>
          <w:rFonts w:ascii="Times New Roman" w:eastAsia="Times New Roman" w:hAnsi="Times New Roman" w:cs="Times New Roman"/>
          <w:color w:val="242424"/>
          <w:sz w:val="22"/>
          <w:szCs w:val="22"/>
          <w:lang w:val="de-AT" w:eastAsia="en-GB"/>
        </w:rPr>
        <w:t xml:space="preserve"> </w:t>
      </w:r>
      <w:r w:rsidRPr="004453F4">
        <w:rPr>
          <w:rFonts w:ascii="Times New Roman" w:eastAsia="Times New Roman" w:hAnsi="Times New Roman" w:cs="Times New Roman"/>
          <w:color w:val="242424"/>
          <w:sz w:val="22"/>
          <w:szCs w:val="22"/>
          <w:lang w:val="de-DE" w:eastAsia="en-GB"/>
        </w:rPr>
        <w:t>Bei dem WTO-Streitschlichtungssystem handelt es sich um ein ständiges Schiedsgerichtsorgan (Dispute Settlement Body, DSB) und eine Berufungsinstanz (</w:t>
      </w:r>
      <w:proofErr w:type="spellStart"/>
      <w:r w:rsidRPr="004453F4">
        <w:rPr>
          <w:rFonts w:ascii="Times New Roman" w:eastAsia="Times New Roman" w:hAnsi="Times New Roman" w:cs="Times New Roman"/>
          <w:color w:val="242424"/>
          <w:sz w:val="22"/>
          <w:szCs w:val="22"/>
          <w:lang w:val="de-DE" w:eastAsia="en-GB"/>
        </w:rPr>
        <w:t>Appellate</w:t>
      </w:r>
      <w:proofErr w:type="spellEnd"/>
      <w:r w:rsidRPr="004453F4">
        <w:rPr>
          <w:rFonts w:ascii="Times New Roman" w:eastAsia="Times New Roman" w:hAnsi="Times New Roman" w:cs="Times New Roman"/>
          <w:color w:val="242424"/>
          <w:sz w:val="22"/>
          <w:szCs w:val="22"/>
          <w:lang w:val="de-DE" w:eastAsia="en-GB"/>
        </w:rPr>
        <w:t xml:space="preserve"> Body). Kommt eine Vertragspartei den verbindlichen Empfehlungen des Schiedsgerichtes nicht nach, so kann die geschädigte Partei Vergeltungsmaßnahmen setzen</w:t>
      </w:r>
      <w:r w:rsidR="00F04FDA">
        <w:rPr>
          <w:rFonts w:ascii="Times New Roman" w:eastAsia="Times New Roman" w:hAnsi="Times New Roman" w:cs="Times New Roman"/>
          <w:color w:val="242424"/>
          <w:sz w:val="22"/>
          <w:szCs w:val="22"/>
          <w:lang w:val="de-DE" w:eastAsia="en-GB"/>
        </w:rPr>
        <w:t xml:space="preserve">. </w:t>
      </w:r>
      <w:r w:rsidRPr="004453F4">
        <w:rPr>
          <w:rFonts w:ascii="Times New Roman" w:eastAsia="Times New Roman" w:hAnsi="Times New Roman" w:cs="Times New Roman"/>
          <w:color w:val="242424"/>
          <w:sz w:val="22"/>
          <w:szCs w:val="22"/>
          <w:lang w:val="de-DE" w:eastAsia="en-GB"/>
        </w:rPr>
        <w:t xml:space="preserve">Siehe weiter dazu </w:t>
      </w:r>
      <w:r w:rsidR="00F04FDA">
        <w:rPr>
          <w:rFonts w:ascii="Times New Roman" w:eastAsia="Times New Roman" w:hAnsi="Times New Roman" w:cs="Times New Roman"/>
          <w:color w:val="242424"/>
          <w:sz w:val="22"/>
          <w:szCs w:val="22"/>
          <w:lang w:val="de-DE" w:eastAsia="en-GB"/>
        </w:rPr>
        <w:t xml:space="preserve">unter </w:t>
      </w:r>
      <w:r w:rsidR="00F04FDA" w:rsidRPr="00F04FDA">
        <w:rPr>
          <w:rFonts w:ascii="Times New Roman" w:eastAsia="Times New Roman" w:hAnsi="Times New Roman" w:cs="Times New Roman"/>
          <w:color w:val="242424"/>
          <w:sz w:val="22"/>
          <w:szCs w:val="22"/>
          <w:lang w:val="de-DE" w:eastAsia="en-GB"/>
        </w:rPr>
        <w:t>https://www.wko.at/aussenwirtschaft/wto-streitbeilegungssystem</w:t>
      </w:r>
      <w:r w:rsidR="00F04FDA">
        <w:rPr>
          <w:rFonts w:ascii="Times New Roman" w:eastAsia="Times New Roman" w:hAnsi="Times New Roman" w:cs="Times New Roman"/>
          <w:color w:val="242424"/>
          <w:sz w:val="22"/>
          <w:szCs w:val="22"/>
          <w:lang w:val="de-DE" w:eastAsia="en-GB"/>
        </w:rPr>
        <w:t>, zuletzt abgerufen am 27.12.2023.</w:t>
      </w:r>
    </w:p>
  </w:footnote>
  <w:footnote w:id="46">
    <w:p w14:paraId="5DBA6204" w14:textId="441058C6" w:rsidR="0059586E" w:rsidRPr="00F04345" w:rsidRDefault="0059586E" w:rsidP="0059586E">
      <w:pPr>
        <w:pStyle w:val="FootnoteText"/>
        <w:rPr>
          <w:rFonts w:ascii="Times New Roman" w:eastAsia="Times New Roman" w:hAnsi="Times New Roman" w:cs="Times New Roman"/>
          <w:color w:val="242424"/>
          <w:sz w:val="22"/>
          <w:szCs w:val="22"/>
          <w:lang w:val="de-DE" w:eastAsia="en-GB"/>
        </w:rPr>
      </w:pPr>
      <w:r w:rsidRPr="00F740A1">
        <w:rPr>
          <w:rFonts w:ascii="Times New Roman" w:eastAsia="Times New Roman" w:hAnsi="Times New Roman" w:cs="Times New Roman"/>
          <w:color w:val="242424"/>
          <w:sz w:val="22"/>
          <w:szCs w:val="22"/>
          <w:vertAlign w:val="superscript"/>
          <w:lang w:val="de-DE" w:eastAsia="en-GB"/>
        </w:rPr>
        <w:footnoteRef/>
      </w:r>
      <w:r w:rsidRPr="00F740A1">
        <w:rPr>
          <w:rFonts w:ascii="Times New Roman" w:eastAsia="Times New Roman" w:hAnsi="Times New Roman" w:cs="Times New Roman"/>
          <w:color w:val="242424"/>
          <w:sz w:val="22"/>
          <w:szCs w:val="22"/>
          <w:vertAlign w:val="superscript"/>
          <w:lang w:val="de-DE" w:eastAsia="en-GB"/>
        </w:rPr>
        <w:t xml:space="preserve"> </w:t>
      </w:r>
      <w:r w:rsidRPr="00904D42">
        <w:rPr>
          <w:rFonts w:ascii="Times New Roman" w:eastAsia="Times New Roman" w:hAnsi="Times New Roman" w:cs="Times New Roman"/>
          <w:color w:val="242424"/>
          <w:sz w:val="22"/>
          <w:szCs w:val="22"/>
          <w:lang w:val="de-DE" w:eastAsia="en-GB"/>
        </w:rPr>
        <w:t>Durchführungsverordnung (EU) 2022/1039 der Kommission v</w:t>
      </w:r>
      <w:r w:rsidR="005368CE">
        <w:rPr>
          <w:rFonts w:ascii="Times New Roman" w:eastAsia="Times New Roman" w:hAnsi="Times New Roman" w:cs="Times New Roman"/>
          <w:color w:val="242424"/>
          <w:sz w:val="22"/>
          <w:szCs w:val="22"/>
          <w:lang w:val="de-DE" w:eastAsia="en-GB"/>
        </w:rPr>
        <w:t>.</w:t>
      </w:r>
      <w:r w:rsidRPr="00904D42">
        <w:rPr>
          <w:rFonts w:ascii="Times New Roman" w:eastAsia="Times New Roman" w:hAnsi="Times New Roman" w:cs="Times New Roman"/>
          <w:color w:val="242424"/>
          <w:sz w:val="22"/>
          <w:szCs w:val="22"/>
          <w:lang w:val="de-DE" w:eastAsia="en-GB"/>
        </w:rPr>
        <w:t xml:space="preserve"> 29.</w:t>
      </w:r>
      <w:r w:rsidR="005368CE">
        <w:rPr>
          <w:rFonts w:ascii="Times New Roman" w:eastAsia="Times New Roman" w:hAnsi="Times New Roman" w:cs="Times New Roman"/>
          <w:color w:val="242424"/>
          <w:sz w:val="22"/>
          <w:szCs w:val="22"/>
          <w:lang w:val="de-DE" w:eastAsia="en-GB"/>
        </w:rPr>
        <w:t>06.</w:t>
      </w:r>
      <w:r w:rsidRPr="00904D42">
        <w:rPr>
          <w:rFonts w:ascii="Times New Roman" w:eastAsia="Times New Roman" w:hAnsi="Times New Roman" w:cs="Times New Roman"/>
          <w:color w:val="242424"/>
          <w:sz w:val="22"/>
          <w:szCs w:val="22"/>
          <w:lang w:val="de-DE" w:eastAsia="en-GB"/>
        </w:rPr>
        <w:t>2022 zur Festlegung der Regeln für die Anwendung der Verordnung (EU) Nr. 978/2012 des</w:t>
      </w:r>
      <w:r w:rsidRPr="00904D42">
        <w:rPr>
          <w:rFonts w:ascii="Times New Roman" w:eastAsia="Times New Roman" w:hAnsi="Times New Roman" w:cs="Times New Roman"/>
          <w:color w:val="242424"/>
          <w:sz w:val="22"/>
          <w:szCs w:val="22"/>
          <w:lang w:val="de-DE" w:eastAsia="en-GB"/>
        </w:rPr>
        <w:t xml:space="preserve"> Europäischen Parlaments und des Rates hinsichtlich der Aussetzung bestimmter Zollpräferenzen, die bestimmten APS-begünstigten Ländern gewährt wurden, für das Jahr 2023, </w:t>
      </w:r>
      <w:r w:rsidR="005368CE">
        <w:rPr>
          <w:rFonts w:ascii="Times New Roman" w:eastAsia="Times New Roman" w:hAnsi="Times New Roman" w:cs="Times New Roman"/>
          <w:color w:val="242424"/>
          <w:sz w:val="22"/>
          <w:szCs w:val="22"/>
          <w:lang w:val="de-DE" w:eastAsia="en-GB"/>
        </w:rPr>
        <w:t>ABl 2022 L 173/58.</w:t>
      </w:r>
    </w:p>
  </w:footnote>
  <w:footnote w:id="47">
    <w:p w14:paraId="58CF42BF" w14:textId="7DA87538" w:rsidR="00F04345" w:rsidRPr="004453F4" w:rsidRDefault="00F04345" w:rsidP="00905D01">
      <w:pPr>
        <w:pStyle w:val="FootnoteText"/>
        <w:rPr>
          <w:rFonts w:ascii="Times New Roman" w:eastAsia="Times New Roman" w:hAnsi="Times New Roman" w:cs="Times New Roman"/>
          <w:color w:val="242424"/>
          <w:sz w:val="22"/>
          <w:szCs w:val="22"/>
          <w:lang w:val="de-DE" w:eastAsia="en-GB"/>
        </w:rPr>
      </w:pPr>
      <w:r w:rsidRPr="00F740A1">
        <w:rPr>
          <w:rFonts w:ascii="Times New Roman" w:eastAsia="Times New Roman" w:hAnsi="Times New Roman" w:cs="Times New Roman"/>
          <w:color w:val="242424"/>
          <w:sz w:val="22"/>
          <w:szCs w:val="22"/>
          <w:vertAlign w:val="superscript"/>
          <w:lang w:val="de-DE" w:eastAsia="en-GB"/>
        </w:rPr>
        <w:footnoteRef/>
      </w:r>
      <w:r w:rsidRPr="00F740A1">
        <w:rPr>
          <w:rFonts w:ascii="Times New Roman" w:eastAsia="Times New Roman" w:hAnsi="Times New Roman" w:cs="Times New Roman"/>
          <w:color w:val="242424"/>
          <w:sz w:val="22"/>
          <w:szCs w:val="22"/>
          <w:vertAlign w:val="superscript"/>
          <w:lang w:val="de-DE" w:eastAsia="en-GB"/>
        </w:rPr>
        <w:t xml:space="preserve"> </w:t>
      </w:r>
      <w:r w:rsidR="001D7367">
        <w:rPr>
          <w:rFonts w:ascii="Times New Roman" w:eastAsia="Times New Roman" w:hAnsi="Times New Roman" w:cs="Times New Roman"/>
          <w:color w:val="242424"/>
          <w:sz w:val="22"/>
          <w:szCs w:val="22"/>
          <w:lang w:val="de-DE" w:eastAsia="en-GB"/>
        </w:rPr>
        <w:t>B</w:t>
      </w:r>
      <w:r w:rsidRPr="004453F4">
        <w:rPr>
          <w:rFonts w:ascii="Times New Roman" w:eastAsia="Times New Roman" w:hAnsi="Times New Roman" w:cs="Times New Roman"/>
          <w:color w:val="242424"/>
          <w:sz w:val="22"/>
          <w:szCs w:val="22"/>
          <w:lang w:val="de-DE" w:eastAsia="en-GB"/>
        </w:rPr>
        <w:t>eispiel</w:t>
      </w:r>
      <w:r w:rsidR="001D7367">
        <w:rPr>
          <w:rFonts w:ascii="Times New Roman" w:eastAsia="Times New Roman" w:hAnsi="Times New Roman" w:cs="Times New Roman"/>
          <w:color w:val="242424"/>
          <w:sz w:val="22"/>
          <w:szCs w:val="22"/>
          <w:lang w:val="de-DE" w:eastAsia="en-GB"/>
        </w:rPr>
        <w:t>haft kann die Beschwerde der EU bei der WTO gegen ägyptische Einfuhrbeschränkungen angeführt werden, siehe näher dazu unter</w:t>
      </w:r>
      <w:r w:rsidRPr="004453F4">
        <w:rPr>
          <w:rFonts w:ascii="Times New Roman" w:eastAsia="Times New Roman" w:hAnsi="Times New Roman" w:cs="Times New Roman"/>
          <w:color w:val="242424"/>
          <w:sz w:val="22"/>
          <w:szCs w:val="22"/>
          <w:lang w:val="de-DE" w:eastAsia="en-GB"/>
        </w:rPr>
        <w:t xml:space="preserve"> </w:t>
      </w:r>
      <w:r w:rsidR="001D7367" w:rsidRPr="001D7367">
        <w:rPr>
          <w:rFonts w:ascii="Times New Roman" w:eastAsia="Times New Roman" w:hAnsi="Times New Roman" w:cs="Times New Roman"/>
          <w:color w:val="242424"/>
          <w:sz w:val="22"/>
          <w:szCs w:val="22"/>
          <w:lang w:val="de-DE" w:eastAsia="en-GB"/>
        </w:rPr>
        <w:t>https://ec.europa.eu/commission/presscorner/detail/de/IP_22_578</w:t>
      </w:r>
      <w:r w:rsidR="001D7367">
        <w:rPr>
          <w:rFonts w:ascii="Times New Roman" w:eastAsia="Times New Roman" w:hAnsi="Times New Roman" w:cs="Times New Roman"/>
          <w:color w:val="242424"/>
          <w:sz w:val="22"/>
          <w:szCs w:val="22"/>
          <w:lang w:val="de-DE" w:eastAsia="en-GB"/>
        </w:rPr>
        <w:t>, zuletzt abgerufen am 27.12.2023.</w:t>
      </w:r>
    </w:p>
  </w:footnote>
  <w:footnote w:id="48">
    <w:p w14:paraId="41CC1931" w14:textId="389DC6EA" w:rsidR="00302D3B" w:rsidRPr="00060EFA" w:rsidRDefault="00302D3B" w:rsidP="00905D01">
      <w:pPr>
        <w:pStyle w:val="FootnoteText"/>
        <w:rPr>
          <w:rFonts w:ascii="Times New Roman" w:hAnsi="Times New Roman" w:cs="Times New Roman"/>
          <w:sz w:val="22"/>
          <w:szCs w:val="22"/>
          <w:lang w:val="de-DE"/>
        </w:rPr>
      </w:pPr>
      <w:r w:rsidRPr="00060EFA">
        <w:rPr>
          <w:rStyle w:val="FootnoteReference"/>
          <w:rFonts w:ascii="Times New Roman" w:hAnsi="Times New Roman" w:cs="Times New Roman"/>
          <w:sz w:val="22"/>
          <w:szCs w:val="22"/>
        </w:rPr>
        <w:footnoteRef/>
      </w:r>
      <w:r w:rsidRPr="00060EFA">
        <w:rPr>
          <w:rFonts w:ascii="Times New Roman" w:hAnsi="Times New Roman" w:cs="Times New Roman"/>
          <w:sz w:val="22"/>
          <w:szCs w:val="22"/>
          <w:lang w:val="de-DE"/>
        </w:rPr>
        <w:t xml:space="preserve"> </w:t>
      </w:r>
      <w:r w:rsidR="00DF02E5" w:rsidRPr="00DF02E5">
        <w:rPr>
          <w:rFonts w:ascii="Times New Roman" w:hAnsi="Times New Roman" w:cs="Times New Roman"/>
          <w:i/>
          <w:iCs/>
          <w:sz w:val="22"/>
          <w:szCs w:val="22"/>
          <w:lang w:val="de-DE"/>
        </w:rPr>
        <w:t>Borrell</w:t>
      </w:r>
      <w:r w:rsidR="00DF02E5">
        <w:rPr>
          <w:rFonts w:ascii="Times New Roman" w:hAnsi="Times New Roman" w:cs="Times New Roman"/>
          <w:sz w:val="22"/>
          <w:szCs w:val="22"/>
          <w:lang w:val="de-DE"/>
        </w:rPr>
        <w:t>, Durch Handelspolitik wird die EU zum geopolitischen Player, Blogbeitrag abrufbar unter</w:t>
      </w:r>
      <w:r w:rsidRPr="00060EFA">
        <w:rPr>
          <w:rFonts w:ascii="Times New Roman" w:hAnsi="Times New Roman" w:cs="Times New Roman"/>
          <w:sz w:val="22"/>
          <w:szCs w:val="22"/>
          <w:lang w:val="de-DE"/>
        </w:rPr>
        <w:t xml:space="preserve"> </w:t>
      </w:r>
      <w:r w:rsidR="00DF02E5" w:rsidRPr="00DF02E5">
        <w:rPr>
          <w:rFonts w:ascii="Times New Roman" w:hAnsi="Times New Roman" w:cs="Times New Roman"/>
          <w:sz w:val="22"/>
          <w:szCs w:val="22"/>
          <w:lang w:val="de-DE"/>
        </w:rPr>
        <w:t>https://www.eeas.europa.eu/eeas/durch-handelspolitik-wird-die-eu-zum-geopolitischen-global-player_de</w:t>
      </w:r>
      <w:r w:rsidR="00DF02E5">
        <w:rPr>
          <w:rFonts w:ascii="Times New Roman" w:hAnsi="Times New Roman" w:cs="Times New Roman"/>
          <w:sz w:val="22"/>
          <w:szCs w:val="22"/>
          <w:lang w:val="de-DE"/>
        </w:rPr>
        <w:t>, zuletzt abgerufen am 27.12.2023.</w:t>
      </w:r>
    </w:p>
  </w:footnote>
  <w:footnote w:id="49">
    <w:p w14:paraId="152EB98A" w14:textId="20926B4D" w:rsidR="00841BA2" w:rsidRPr="00F43A79" w:rsidRDefault="00841BA2">
      <w:pPr>
        <w:pStyle w:val="FootnoteText"/>
        <w:rPr>
          <w:rFonts w:ascii="Times New Roman" w:hAnsi="Times New Roman" w:cs="Times New Roman"/>
          <w:sz w:val="22"/>
          <w:szCs w:val="22"/>
          <w:lang w:val="de-DE"/>
        </w:rPr>
      </w:pPr>
      <w:r w:rsidRPr="00F43A79">
        <w:rPr>
          <w:rStyle w:val="FootnoteReference"/>
          <w:rFonts w:ascii="Times New Roman" w:hAnsi="Times New Roman" w:cs="Times New Roman"/>
          <w:sz w:val="22"/>
          <w:szCs w:val="22"/>
        </w:rPr>
        <w:footnoteRef/>
      </w:r>
      <w:r w:rsidRPr="00F43A79">
        <w:rPr>
          <w:rFonts w:ascii="Times New Roman" w:hAnsi="Times New Roman" w:cs="Times New Roman"/>
          <w:sz w:val="22"/>
          <w:szCs w:val="22"/>
          <w:lang w:val="de-DE"/>
        </w:rPr>
        <w:t xml:space="preserve"> Vergleiche https://www.bpb.de/shop/zeitschriften/izpb/china-337/275570/von-der-werkbank-der-welt-zur-innovationswirtschaft/</w:t>
      </w:r>
    </w:p>
  </w:footnote>
  <w:footnote w:id="50">
    <w:p w14:paraId="1B3D917A" w14:textId="519B151C" w:rsidR="0050181B" w:rsidRPr="0046607D" w:rsidRDefault="0050181B">
      <w:pPr>
        <w:pStyle w:val="FootnoteText"/>
        <w:rPr>
          <w:rFonts w:ascii="Times New Roman" w:hAnsi="Times New Roman" w:cs="Times New Roman"/>
          <w:sz w:val="22"/>
          <w:szCs w:val="22"/>
        </w:rPr>
      </w:pPr>
      <w:r>
        <w:rPr>
          <w:rStyle w:val="FootnoteReference"/>
        </w:rPr>
        <w:footnoteRef/>
      </w:r>
      <w:r w:rsidRPr="0050181B">
        <w:t xml:space="preserve"> </w:t>
      </w:r>
      <w:hyperlink r:id="rId4" w:history="1">
        <w:r w:rsidRPr="0046607D">
          <w:rPr>
            <w:rStyle w:val="Hyperlink"/>
            <w:rFonts w:ascii="Times New Roman" w:hAnsi="Times New Roman" w:cs="Times New Roman"/>
            <w:sz w:val="22"/>
            <w:szCs w:val="22"/>
          </w:rPr>
          <w:t>https://www.nomos-elibrary.de/10.5771/9783845299471/europaeische-aussenbeziehungen</w:t>
        </w:r>
      </w:hyperlink>
      <w:r w:rsidRPr="0046607D">
        <w:rPr>
          <w:rFonts w:ascii="Times New Roman" w:hAnsi="Times New Roman" w:cs="Times New Roman"/>
          <w:sz w:val="22"/>
          <w:szCs w:val="22"/>
        </w:rPr>
        <w:t xml:space="preserve"> S. 511 ff.</w:t>
      </w:r>
    </w:p>
  </w:footnote>
  <w:footnote w:id="51">
    <w:p w14:paraId="6AE9D8C9" w14:textId="77777777" w:rsidR="00971D1C" w:rsidRDefault="00971D1C"/>
    <w:p w14:paraId="3F4FD11F" w14:textId="77777777" w:rsidR="0046607D" w:rsidRPr="0050181B" w:rsidRDefault="0046607D" w:rsidP="00905D01">
      <w:pPr>
        <w:pStyle w:val="FootnoteText"/>
        <w:rPr>
          <w:rFonts w:ascii="Times New Roman" w:eastAsia="Times New Roman" w:hAnsi="Times New Roman" w:cs="Times New Roman"/>
          <w:color w:val="242424"/>
          <w:sz w:val="22"/>
          <w:szCs w:val="22"/>
          <w:lang w:eastAsia="en-GB"/>
        </w:rPr>
      </w:pPr>
    </w:p>
  </w:footnote>
  <w:footnote w:id="52">
    <w:p w14:paraId="5A81D824" w14:textId="0ECABF0B" w:rsidR="002B6ABA" w:rsidRPr="00DF02E5" w:rsidRDefault="002B6ABA" w:rsidP="00905D01">
      <w:pPr>
        <w:shd w:val="clear" w:color="auto" w:fill="FFFFFF"/>
        <w:spacing w:after="0" w:line="240" w:lineRule="auto"/>
        <w:textAlignment w:val="baseline"/>
        <w:rPr>
          <w:rFonts w:ascii="Times New Roman" w:eastAsia="Times New Roman" w:hAnsi="Times New Roman" w:cs="Times New Roman"/>
          <w:color w:val="242424"/>
          <w:lang w:val="de-DE" w:eastAsia="en-GB"/>
        </w:rPr>
      </w:pPr>
      <w:r w:rsidRPr="00DF02E5">
        <w:rPr>
          <w:rFonts w:ascii="Times New Roman" w:eastAsia="Times New Roman" w:hAnsi="Times New Roman" w:cs="Times New Roman"/>
          <w:color w:val="242424"/>
          <w:vertAlign w:val="superscript"/>
          <w:lang w:val="de-DE" w:eastAsia="en-GB"/>
        </w:rPr>
        <w:footnoteRef/>
      </w:r>
      <w:r w:rsidRPr="00060EFA">
        <w:rPr>
          <w:rFonts w:ascii="Times New Roman" w:eastAsia="Times New Roman" w:hAnsi="Times New Roman" w:cs="Times New Roman"/>
          <w:color w:val="242424"/>
          <w:lang w:val="de-DE" w:eastAsia="en-GB"/>
        </w:rPr>
        <w:t xml:space="preserve"> Eine typische Formulierung findet sich in Art 10</w:t>
      </w:r>
      <w:r w:rsidR="00CC3A96">
        <w:rPr>
          <w:rFonts w:ascii="Times New Roman" w:eastAsia="Times New Roman" w:hAnsi="Times New Roman" w:cs="Times New Roman"/>
          <w:color w:val="242424"/>
          <w:lang w:val="de-DE" w:eastAsia="en-GB"/>
        </w:rPr>
        <w:t>.</w:t>
      </w:r>
      <w:r w:rsidRPr="00060EFA">
        <w:rPr>
          <w:rFonts w:ascii="Times New Roman" w:eastAsia="Times New Roman" w:hAnsi="Times New Roman" w:cs="Times New Roman"/>
          <w:color w:val="242424"/>
          <w:lang w:val="de-DE" w:eastAsia="en-GB"/>
        </w:rPr>
        <w:t xml:space="preserve">5 des Abkommens EU-Vietnam, in dem es heißt: „Subvention“ ist eine Maßnahme, </w:t>
      </w:r>
      <w:r w:rsidR="00CC3A96">
        <w:rPr>
          <w:rFonts w:ascii="Times New Roman" w:eastAsia="Times New Roman" w:hAnsi="Times New Roman" w:cs="Times New Roman"/>
          <w:color w:val="242424"/>
          <w:lang w:val="de-DE" w:eastAsia="en-GB"/>
        </w:rPr>
        <w:t>welche</w:t>
      </w:r>
      <w:r w:rsidRPr="00060EFA">
        <w:rPr>
          <w:rFonts w:ascii="Times New Roman" w:eastAsia="Times New Roman" w:hAnsi="Times New Roman" w:cs="Times New Roman"/>
          <w:color w:val="242424"/>
          <w:lang w:val="de-DE" w:eastAsia="en-GB"/>
        </w:rPr>
        <w:t xml:space="preserve"> die Voraussetzungen des Art 1.1 des Subventionsübereinkommens erfüllt, unabhängig davon, ob sie einem Unternehmen gewährt wird, das Waren herstellt oder Dienstleistungen erbringt.</w:t>
      </w:r>
    </w:p>
  </w:footnote>
  <w:footnote w:id="53">
    <w:p w14:paraId="3F26C53E" w14:textId="0D0DD8E4" w:rsidR="00F173E4" w:rsidRDefault="0059586E" w:rsidP="00905D01">
      <w:pPr>
        <w:pStyle w:val="FootnoteText"/>
        <w:rPr>
          <w:rFonts w:ascii="Times New Roman" w:hAnsi="Times New Roman" w:cs="Times New Roman"/>
          <w:sz w:val="22"/>
          <w:szCs w:val="22"/>
          <w:lang w:val="de-DE"/>
        </w:rPr>
      </w:pPr>
      <w:r w:rsidRPr="00060EFA">
        <w:rPr>
          <w:rStyle w:val="FootnoteReference"/>
          <w:rFonts w:ascii="Times New Roman" w:hAnsi="Times New Roman" w:cs="Times New Roman"/>
          <w:sz w:val="22"/>
          <w:szCs w:val="22"/>
        </w:rPr>
        <w:footnoteRef/>
      </w:r>
      <w:r w:rsidRPr="00060EFA">
        <w:rPr>
          <w:rFonts w:ascii="Times New Roman" w:hAnsi="Times New Roman" w:cs="Times New Roman"/>
          <w:sz w:val="22"/>
          <w:szCs w:val="22"/>
          <w:lang w:val="de-DE"/>
        </w:rPr>
        <w:t xml:space="preserve"> </w:t>
      </w:r>
      <w:r w:rsidR="00F173E4">
        <w:rPr>
          <w:rFonts w:ascii="Times New Roman" w:hAnsi="Times New Roman" w:cs="Times New Roman"/>
          <w:sz w:val="22"/>
          <w:szCs w:val="22"/>
          <w:lang w:val="de-DE"/>
        </w:rPr>
        <w:t>Sieh</w:t>
      </w:r>
      <w:r w:rsidR="00484490">
        <w:rPr>
          <w:rFonts w:ascii="Times New Roman" w:hAnsi="Times New Roman" w:cs="Times New Roman"/>
          <w:sz w:val="22"/>
          <w:szCs w:val="22"/>
          <w:lang w:val="de-DE"/>
        </w:rPr>
        <w:t>e</w:t>
      </w:r>
      <w:r w:rsidR="00C370DB">
        <w:rPr>
          <w:rFonts w:ascii="Times New Roman" w:hAnsi="Times New Roman" w:cs="Times New Roman"/>
          <w:sz w:val="22"/>
          <w:szCs w:val="22"/>
          <w:lang w:val="de-DE"/>
        </w:rPr>
        <w:t xml:space="preserve"> dazu</w:t>
      </w:r>
      <w:r w:rsidR="00F173E4">
        <w:rPr>
          <w:rFonts w:ascii="Times New Roman" w:hAnsi="Times New Roman" w:cs="Times New Roman"/>
          <w:sz w:val="22"/>
          <w:szCs w:val="22"/>
          <w:lang w:val="de-DE"/>
        </w:rPr>
        <w:t xml:space="preserve"> </w:t>
      </w:r>
      <w:r w:rsidR="00F173E4" w:rsidRPr="00F173E4">
        <w:rPr>
          <w:rFonts w:ascii="Times New Roman" w:hAnsi="Times New Roman" w:cs="Times New Roman"/>
          <w:sz w:val="22"/>
          <w:szCs w:val="22"/>
          <w:lang w:val="de-DE"/>
        </w:rPr>
        <w:t>COM</w:t>
      </w:r>
      <w:r w:rsidR="00484490">
        <w:rPr>
          <w:rFonts w:ascii="Times New Roman" w:hAnsi="Times New Roman" w:cs="Times New Roman"/>
          <w:sz w:val="22"/>
          <w:szCs w:val="22"/>
          <w:lang w:val="de-DE"/>
        </w:rPr>
        <w:t xml:space="preserve"> </w:t>
      </w:r>
      <w:r w:rsidR="00F173E4" w:rsidRPr="00F173E4">
        <w:rPr>
          <w:rFonts w:ascii="Times New Roman" w:hAnsi="Times New Roman" w:cs="Times New Roman"/>
          <w:sz w:val="22"/>
          <w:szCs w:val="22"/>
          <w:lang w:val="de-DE"/>
        </w:rPr>
        <w:t>(2017) 401 final</w:t>
      </w:r>
      <w:r w:rsidR="00484490">
        <w:rPr>
          <w:rFonts w:ascii="Times New Roman" w:hAnsi="Times New Roman" w:cs="Times New Roman"/>
          <w:sz w:val="22"/>
          <w:szCs w:val="22"/>
          <w:lang w:val="de-DE"/>
        </w:rPr>
        <w:t>,</w:t>
      </w:r>
      <w:r w:rsidR="00F173E4" w:rsidRPr="00F173E4">
        <w:rPr>
          <w:lang w:val="de-DE"/>
        </w:rPr>
        <w:t xml:space="preserve"> </w:t>
      </w:r>
      <w:r w:rsidR="00F173E4" w:rsidRPr="00F173E4">
        <w:rPr>
          <w:rFonts w:ascii="Times New Roman" w:hAnsi="Times New Roman" w:cs="Times New Roman"/>
          <w:sz w:val="22"/>
          <w:szCs w:val="22"/>
          <w:lang w:val="de-DE"/>
        </w:rPr>
        <w:t xml:space="preserve">BERICHT DER KOMMISSION AN DEN RAT UND DAS EUROPÄISCHE </w:t>
      </w:r>
      <w:r w:rsidR="00F173E4">
        <w:rPr>
          <w:rFonts w:ascii="Times New Roman" w:hAnsi="Times New Roman" w:cs="Times New Roman"/>
          <w:sz w:val="22"/>
          <w:szCs w:val="22"/>
          <w:lang w:val="de-DE"/>
        </w:rPr>
        <w:t>PARLAMENT</w:t>
      </w:r>
    </w:p>
    <w:p w14:paraId="3D2B2E84" w14:textId="3B2A60BA" w:rsidR="0059586E" w:rsidRPr="00060EFA" w:rsidRDefault="0059586E" w:rsidP="00905D01">
      <w:pPr>
        <w:pStyle w:val="FootnoteText"/>
        <w:rPr>
          <w:rFonts w:ascii="Times New Roman" w:hAnsi="Times New Roman" w:cs="Times New Roman"/>
          <w:sz w:val="22"/>
          <w:szCs w:val="22"/>
          <w:lang w:val="de-DE"/>
        </w:rPr>
      </w:pPr>
    </w:p>
  </w:footnote>
  <w:footnote w:id="54">
    <w:p w14:paraId="3CA44356" w14:textId="15FCFFF9" w:rsidR="0059586E" w:rsidRPr="00222D99" w:rsidRDefault="0059586E" w:rsidP="00905D01">
      <w:pPr>
        <w:pStyle w:val="FootnoteText"/>
        <w:rPr>
          <w:rFonts w:ascii="Times New Roman" w:hAnsi="Times New Roman" w:cs="Times New Roman"/>
          <w:sz w:val="22"/>
          <w:szCs w:val="22"/>
          <w:lang w:val="de-AT"/>
        </w:rPr>
      </w:pPr>
      <w:r w:rsidRPr="00DF02E5">
        <w:rPr>
          <w:rFonts w:ascii="Times New Roman" w:hAnsi="Times New Roman" w:cs="Times New Roman"/>
          <w:sz w:val="22"/>
          <w:szCs w:val="22"/>
          <w:vertAlign w:val="superscript"/>
          <w:lang w:val="de-DE"/>
        </w:rPr>
        <w:footnoteRef/>
      </w:r>
      <w:r w:rsidRPr="00222D99">
        <w:rPr>
          <w:rFonts w:ascii="Times New Roman" w:hAnsi="Times New Roman" w:cs="Times New Roman"/>
          <w:sz w:val="22"/>
          <w:szCs w:val="22"/>
          <w:lang w:val="de-AT"/>
        </w:rPr>
        <w:t xml:space="preserve"> </w:t>
      </w:r>
      <w:r w:rsidR="00222D99" w:rsidRPr="00222D99">
        <w:rPr>
          <w:rFonts w:ascii="Times New Roman" w:hAnsi="Times New Roman" w:cs="Times New Roman"/>
          <w:sz w:val="22"/>
          <w:szCs w:val="22"/>
          <w:lang w:val="de-AT"/>
        </w:rPr>
        <w:t>Siehe</w:t>
      </w:r>
      <w:r w:rsidR="00222D99">
        <w:rPr>
          <w:rFonts w:ascii="Times New Roman" w:hAnsi="Times New Roman" w:cs="Times New Roman"/>
          <w:sz w:val="22"/>
          <w:szCs w:val="22"/>
          <w:lang w:val="de-AT"/>
        </w:rPr>
        <w:t xml:space="preserve"> auch</w:t>
      </w:r>
      <w:r w:rsidR="00C370DB" w:rsidRPr="00222D99">
        <w:rPr>
          <w:rFonts w:ascii="Times New Roman" w:hAnsi="Times New Roman" w:cs="Times New Roman"/>
          <w:sz w:val="22"/>
          <w:szCs w:val="22"/>
          <w:lang w:val="de-AT"/>
        </w:rPr>
        <w:t xml:space="preserve"> </w:t>
      </w:r>
      <w:r w:rsidR="00222D99" w:rsidRPr="00222D99">
        <w:rPr>
          <w:rFonts w:ascii="Times New Roman" w:hAnsi="Times New Roman" w:cs="Times New Roman"/>
          <w:sz w:val="22"/>
          <w:szCs w:val="22"/>
          <w:lang w:val="de-AT"/>
        </w:rPr>
        <w:t>https://trade.ec.europa.eu/access-to-markets/de/content/einseitige-handelsregelungen</w:t>
      </w:r>
      <w:r w:rsidR="00222D99">
        <w:rPr>
          <w:rFonts w:ascii="Times New Roman" w:hAnsi="Times New Roman" w:cs="Times New Roman"/>
          <w:sz w:val="22"/>
          <w:szCs w:val="22"/>
          <w:lang w:val="de-AT"/>
        </w:rPr>
        <w:t>, zuletzt abgerufen am 27.12.2023.</w:t>
      </w:r>
      <w:r w:rsidR="00C47D92">
        <w:rPr>
          <w:rFonts w:ascii="Times New Roman" w:hAnsi="Times New Roman" w:cs="Times New Roman"/>
          <w:sz w:val="22"/>
          <w:szCs w:val="22"/>
          <w:lang w:val="de-AT"/>
        </w:rPr>
        <w:t xml:space="preserve"> </w:t>
      </w:r>
    </w:p>
  </w:footnote>
  <w:footnote w:id="55">
    <w:p w14:paraId="4C5FEAD2" w14:textId="16C05242" w:rsidR="00EF5FA2" w:rsidRPr="00060EFA" w:rsidRDefault="005F6F99" w:rsidP="00905D01">
      <w:pPr>
        <w:pStyle w:val="FootnoteText"/>
        <w:rPr>
          <w:rFonts w:ascii="Times New Roman" w:hAnsi="Times New Roman" w:cs="Times New Roman"/>
          <w:sz w:val="22"/>
          <w:szCs w:val="22"/>
          <w:lang w:val="de-DE"/>
        </w:rPr>
      </w:pPr>
      <w:r w:rsidRPr="00DF02E5">
        <w:rPr>
          <w:rFonts w:ascii="Times New Roman" w:hAnsi="Times New Roman" w:cs="Times New Roman"/>
          <w:sz w:val="22"/>
          <w:szCs w:val="22"/>
          <w:vertAlign w:val="superscript"/>
          <w:lang w:val="de-DE"/>
        </w:rPr>
        <w:footnoteRef/>
      </w:r>
      <w:r w:rsidRPr="00060EFA">
        <w:rPr>
          <w:rFonts w:ascii="Times New Roman" w:hAnsi="Times New Roman" w:cs="Times New Roman"/>
          <w:sz w:val="22"/>
          <w:szCs w:val="22"/>
          <w:lang w:val="de-DE"/>
        </w:rPr>
        <w:t xml:space="preserve"> COM(2019) 158 final</w:t>
      </w:r>
      <w:r w:rsidR="00D82AE2">
        <w:rPr>
          <w:rFonts w:ascii="Times New Roman" w:hAnsi="Times New Roman" w:cs="Times New Roman"/>
          <w:sz w:val="22"/>
          <w:szCs w:val="22"/>
          <w:lang w:val="de-DE"/>
        </w:rPr>
        <w:t>.</w:t>
      </w:r>
    </w:p>
  </w:footnote>
  <w:footnote w:id="56">
    <w:p w14:paraId="050E19AD" w14:textId="387C60C7" w:rsidR="00C72971" w:rsidRPr="00060EFA" w:rsidRDefault="0059586E" w:rsidP="00905D01">
      <w:pPr>
        <w:pStyle w:val="FootnoteText"/>
        <w:rPr>
          <w:rFonts w:ascii="Times New Roman" w:hAnsi="Times New Roman" w:cs="Times New Roman"/>
          <w:sz w:val="22"/>
          <w:szCs w:val="22"/>
          <w:lang w:val="de-DE"/>
        </w:rPr>
      </w:pPr>
      <w:r w:rsidRPr="00DF02E5">
        <w:rPr>
          <w:rFonts w:ascii="Times New Roman" w:hAnsi="Times New Roman" w:cs="Times New Roman"/>
          <w:sz w:val="22"/>
          <w:szCs w:val="22"/>
          <w:vertAlign w:val="superscript"/>
          <w:lang w:val="de-DE"/>
        </w:rPr>
        <w:footnoteRef/>
      </w:r>
      <w:r w:rsidRPr="00060EFA">
        <w:rPr>
          <w:rFonts w:ascii="Times New Roman" w:hAnsi="Times New Roman" w:cs="Times New Roman"/>
          <w:sz w:val="22"/>
          <w:szCs w:val="22"/>
          <w:lang w:val="de-DE"/>
        </w:rPr>
        <w:t xml:space="preserve"> </w:t>
      </w:r>
      <w:r w:rsidR="00FD59AB">
        <w:rPr>
          <w:rFonts w:ascii="Times New Roman" w:hAnsi="Times New Roman" w:cs="Times New Roman"/>
          <w:sz w:val="22"/>
          <w:szCs w:val="22"/>
          <w:lang w:val="de-DE"/>
        </w:rPr>
        <w:t xml:space="preserve">Ausführlicher dazu unter </w:t>
      </w:r>
      <w:r w:rsidR="00FD59AB" w:rsidRPr="00FD59AB">
        <w:rPr>
          <w:rFonts w:ascii="Times New Roman" w:hAnsi="Times New Roman" w:cs="Times New Roman"/>
          <w:sz w:val="22"/>
          <w:szCs w:val="22"/>
          <w:lang w:val="de-DE"/>
        </w:rPr>
        <w:t>https://ec.europa.eu/commission/presscorner/detail/en/IP_23_4752</w:t>
      </w:r>
      <w:r w:rsidR="00FD59AB">
        <w:rPr>
          <w:rFonts w:ascii="Times New Roman" w:hAnsi="Times New Roman" w:cs="Times New Roman"/>
          <w:sz w:val="22"/>
          <w:szCs w:val="22"/>
          <w:lang w:val="de-DE"/>
        </w:rPr>
        <w:t>, zuletzt abgerufen am 27.12.2023.</w:t>
      </w:r>
    </w:p>
    <w:p w14:paraId="260C6E1D" w14:textId="72C40B5A" w:rsidR="0059586E" w:rsidRPr="00FD59AB" w:rsidRDefault="0059586E" w:rsidP="00905D01">
      <w:pPr>
        <w:pStyle w:val="FootnoteText"/>
        <w:rPr>
          <w:rFonts w:ascii="Times New Roman" w:hAnsi="Times New Roman" w:cs="Times New Roman"/>
          <w:sz w:val="22"/>
          <w:szCs w:val="22"/>
          <w:lang w:val="de-AT"/>
        </w:rPr>
      </w:pPr>
    </w:p>
  </w:footnote>
  <w:footnote w:id="57">
    <w:p w14:paraId="172CFCB2" w14:textId="1EECBF45" w:rsidR="0059586E" w:rsidRPr="00060EFA" w:rsidRDefault="0059586E" w:rsidP="00905D01">
      <w:pPr>
        <w:pStyle w:val="FootnoteText"/>
        <w:rPr>
          <w:rFonts w:ascii="Times New Roman" w:hAnsi="Times New Roman" w:cs="Times New Roman"/>
          <w:sz w:val="22"/>
          <w:szCs w:val="22"/>
          <w:lang w:val="de-DE"/>
        </w:rPr>
      </w:pPr>
      <w:r w:rsidRPr="00060EFA">
        <w:rPr>
          <w:rStyle w:val="FootnoteReference"/>
          <w:rFonts w:ascii="Times New Roman" w:hAnsi="Times New Roman" w:cs="Times New Roman"/>
          <w:sz w:val="22"/>
          <w:szCs w:val="22"/>
        </w:rPr>
        <w:footnoteRef/>
      </w:r>
      <w:r w:rsidRPr="00060EFA">
        <w:rPr>
          <w:rFonts w:ascii="Times New Roman" w:hAnsi="Times New Roman" w:cs="Times New Roman"/>
          <w:sz w:val="22"/>
          <w:szCs w:val="22"/>
          <w:lang w:val="de-DE"/>
        </w:rPr>
        <w:t xml:space="preserve"> </w:t>
      </w:r>
      <w:bookmarkStart w:id="11" w:name="_Hlk151132376"/>
      <w:r w:rsidRPr="00060EFA">
        <w:rPr>
          <w:rFonts w:ascii="Times New Roman" w:hAnsi="Times New Roman" w:cs="Times New Roman"/>
          <w:sz w:val="22"/>
          <w:szCs w:val="22"/>
          <w:lang w:val="de-DE"/>
        </w:rPr>
        <w:t>Verordnung (EU) 2022/2560 des Europäischen Parlaments und des Rates v</w:t>
      </w:r>
      <w:r w:rsidR="00FD59AB">
        <w:rPr>
          <w:rFonts w:ascii="Times New Roman" w:hAnsi="Times New Roman" w:cs="Times New Roman"/>
          <w:sz w:val="22"/>
          <w:szCs w:val="22"/>
          <w:lang w:val="de-DE"/>
        </w:rPr>
        <w:t>.</w:t>
      </w:r>
      <w:r w:rsidRPr="00060EFA">
        <w:rPr>
          <w:rFonts w:ascii="Times New Roman" w:hAnsi="Times New Roman" w:cs="Times New Roman"/>
          <w:sz w:val="22"/>
          <w:szCs w:val="22"/>
          <w:lang w:val="de-DE"/>
        </w:rPr>
        <w:t xml:space="preserve"> 14.</w:t>
      </w:r>
      <w:r w:rsidR="00FD59AB">
        <w:rPr>
          <w:rFonts w:ascii="Times New Roman" w:hAnsi="Times New Roman" w:cs="Times New Roman"/>
          <w:sz w:val="22"/>
          <w:szCs w:val="22"/>
          <w:lang w:val="de-DE"/>
        </w:rPr>
        <w:t>12.</w:t>
      </w:r>
      <w:r w:rsidRPr="00060EFA">
        <w:rPr>
          <w:rFonts w:ascii="Times New Roman" w:hAnsi="Times New Roman" w:cs="Times New Roman"/>
          <w:sz w:val="22"/>
          <w:szCs w:val="22"/>
          <w:lang w:val="de-DE"/>
        </w:rPr>
        <w:t xml:space="preserve">2022 über den Binnenmarkt verzerrende drittstaatliche Subventionen, ABl </w:t>
      </w:r>
      <w:r w:rsidR="00391C32">
        <w:rPr>
          <w:rFonts w:ascii="Times New Roman" w:hAnsi="Times New Roman" w:cs="Times New Roman"/>
          <w:sz w:val="22"/>
          <w:szCs w:val="22"/>
          <w:lang w:val="de-DE"/>
        </w:rPr>
        <w:t xml:space="preserve">2022 </w:t>
      </w:r>
      <w:r w:rsidRPr="00060EFA">
        <w:rPr>
          <w:rFonts w:ascii="Times New Roman" w:hAnsi="Times New Roman" w:cs="Times New Roman"/>
          <w:sz w:val="22"/>
          <w:szCs w:val="22"/>
          <w:lang w:val="de-DE"/>
        </w:rPr>
        <w:t>L 330</w:t>
      </w:r>
      <w:r w:rsidR="00391C32">
        <w:rPr>
          <w:rFonts w:ascii="Times New Roman" w:hAnsi="Times New Roman" w:cs="Times New Roman"/>
          <w:sz w:val="22"/>
          <w:szCs w:val="22"/>
          <w:lang w:val="de-DE"/>
        </w:rPr>
        <w:t>/1.</w:t>
      </w:r>
      <w:bookmarkEnd w:id="11"/>
    </w:p>
  </w:footnote>
  <w:footnote w:id="58">
    <w:p w14:paraId="33E6F67B" w14:textId="246E1D53" w:rsidR="0059586E" w:rsidRPr="00060EFA" w:rsidRDefault="0059586E" w:rsidP="00905D01">
      <w:pPr>
        <w:pStyle w:val="FootnoteText"/>
        <w:rPr>
          <w:rFonts w:ascii="Times New Roman" w:hAnsi="Times New Roman" w:cs="Times New Roman"/>
          <w:sz w:val="22"/>
          <w:szCs w:val="22"/>
          <w:lang w:val="de-DE"/>
        </w:rPr>
      </w:pPr>
      <w:r w:rsidRPr="00691AEB">
        <w:rPr>
          <w:rFonts w:ascii="Times New Roman" w:hAnsi="Times New Roman" w:cs="Times New Roman"/>
          <w:sz w:val="22"/>
          <w:szCs w:val="22"/>
          <w:vertAlign w:val="superscript"/>
          <w:lang w:val="de-DE"/>
        </w:rPr>
        <w:footnoteRef/>
      </w:r>
      <w:r w:rsidRPr="00691AEB">
        <w:rPr>
          <w:rFonts w:ascii="Times New Roman" w:hAnsi="Times New Roman" w:cs="Times New Roman"/>
          <w:sz w:val="22"/>
          <w:szCs w:val="22"/>
          <w:lang w:val="de-DE"/>
        </w:rPr>
        <w:t xml:space="preserve"> </w:t>
      </w:r>
      <w:r w:rsidR="008E0114" w:rsidRPr="00691AEB">
        <w:rPr>
          <w:rFonts w:ascii="Times New Roman" w:hAnsi="Times New Roman" w:cs="Times New Roman"/>
          <w:sz w:val="22"/>
          <w:szCs w:val="22"/>
          <w:lang w:val="de-DE"/>
        </w:rPr>
        <w:t xml:space="preserve">Siehe weiters dazu </w:t>
      </w:r>
      <w:r w:rsidRPr="00691AEB">
        <w:rPr>
          <w:rFonts w:ascii="Times New Roman" w:hAnsi="Times New Roman" w:cs="Times New Roman"/>
          <w:i/>
          <w:iCs/>
          <w:sz w:val="22"/>
          <w:szCs w:val="22"/>
          <w:lang w:val="de-DE"/>
        </w:rPr>
        <w:t>Reinisch</w:t>
      </w:r>
      <w:r w:rsidRPr="00691AEB">
        <w:rPr>
          <w:rFonts w:ascii="Times New Roman" w:hAnsi="Times New Roman" w:cs="Times New Roman"/>
          <w:sz w:val="22"/>
          <w:szCs w:val="22"/>
          <w:lang w:val="de-DE"/>
        </w:rPr>
        <w:t xml:space="preserve">, </w:t>
      </w:r>
      <w:r w:rsidR="00691AEB" w:rsidRPr="00691AEB">
        <w:rPr>
          <w:rFonts w:ascii="Times New Roman" w:hAnsi="Times New Roman" w:cs="Times New Roman"/>
          <w:sz w:val="22"/>
          <w:szCs w:val="22"/>
          <w:lang w:val="de-DE"/>
        </w:rPr>
        <w:t xml:space="preserve">EU-Wettbewerbsrecht und internationale Organisationen </w:t>
      </w:r>
      <w:r w:rsidR="00391C32" w:rsidRPr="00691AEB">
        <w:rPr>
          <w:rFonts w:ascii="Times New Roman" w:hAnsi="Times New Roman" w:cs="Times New Roman"/>
          <w:b/>
          <w:bCs/>
          <w:sz w:val="22"/>
          <w:szCs w:val="22"/>
          <w:lang w:val="de-DE"/>
        </w:rPr>
        <w:t>(</w:t>
      </w:r>
      <w:r w:rsidR="008E0114" w:rsidRPr="00691AEB">
        <w:rPr>
          <w:rFonts w:ascii="Times New Roman" w:hAnsi="Times New Roman" w:cs="Times New Roman"/>
          <w:sz w:val="22"/>
          <w:szCs w:val="22"/>
          <w:lang w:val="de-DE"/>
        </w:rPr>
        <w:t>S</w:t>
      </w:r>
      <w:r w:rsidR="00691AEB" w:rsidRPr="00691AEB">
        <w:rPr>
          <w:rFonts w:ascii="Times New Roman" w:hAnsi="Times New Roman" w:cs="Times New Roman"/>
          <w:sz w:val="22"/>
          <w:szCs w:val="22"/>
          <w:lang w:val="de-DE"/>
        </w:rPr>
        <w:t>.599</w:t>
      </w:r>
      <w:r w:rsidR="008E0114" w:rsidRPr="00691AEB">
        <w:rPr>
          <w:rFonts w:ascii="Times New Roman" w:hAnsi="Times New Roman" w:cs="Times New Roman"/>
          <w:sz w:val="22"/>
          <w:szCs w:val="22"/>
          <w:lang w:val="de-DE"/>
        </w:rPr>
        <w:t>)</w:t>
      </w:r>
    </w:p>
  </w:footnote>
  <w:footnote w:id="59">
    <w:p w14:paraId="3E8AA0E7" w14:textId="4C9BE7C0" w:rsidR="0059586E" w:rsidRPr="00060EFA" w:rsidRDefault="0059586E" w:rsidP="00905D01">
      <w:pPr>
        <w:pStyle w:val="FootnoteText"/>
        <w:rPr>
          <w:rFonts w:ascii="Times New Roman" w:hAnsi="Times New Roman" w:cs="Times New Roman"/>
          <w:sz w:val="22"/>
          <w:szCs w:val="22"/>
          <w:lang w:val="de-DE"/>
        </w:rPr>
      </w:pPr>
      <w:r w:rsidRPr="002B6E2B">
        <w:rPr>
          <w:rFonts w:ascii="Times New Roman" w:hAnsi="Times New Roman" w:cs="Times New Roman"/>
          <w:sz w:val="22"/>
          <w:szCs w:val="22"/>
          <w:vertAlign w:val="superscript"/>
          <w:lang w:val="de-DE"/>
        </w:rPr>
        <w:footnoteRef/>
      </w:r>
      <w:r w:rsidRPr="00060EFA">
        <w:rPr>
          <w:rFonts w:ascii="Times New Roman" w:hAnsi="Times New Roman" w:cs="Times New Roman"/>
          <w:sz w:val="22"/>
          <w:szCs w:val="22"/>
          <w:lang w:val="de-DE"/>
        </w:rPr>
        <w:t xml:space="preserve"> Verordnung (EG) Nr. 139/2004 des Rates v</w:t>
      </w:r>
      <w:r w:rsidR="009C38D2">
        <w:rPr>
          <w:rFonts w:ascii="Times New Roman" w:hAnsi="Times New Roman" w:cs="Times New Roman"/>
          <w:sz w:val="22"/>
          <w:szCs w:val="22"/>
          <w:lang w:val="de-DE"/>
        </w:rPr>
        <w:t>.</w:t>
      </w:r>
      <w:r w:rsidRPr="00060EFA">
        <w:rPr>
          <w:rFonts w:ascii="Times New Roman" w:hAnsi="Times New Roman" w:cs="Times New Roman"/>
          <w:sz w:val="22"/>
          <w:szCs w:val="22"/>
          <w:lang w:val="de-DE"/>
        </w:rPr>
        <w:t xml:space="preserve"> 20.</w:t>
      </w:r>
      <w:r w:rsidR="009C38D2">
        <w:rPr>
          <w:rFonts w:ascii="Times New Roman" w:hAnsi="Times New Roman" w:cs="Times New Roman"/>
          <w:sz w:val="22"/>
          <w:szCs w:val="22"/>
          <w:lang w:val="de-DE"/>
        </w:rPr>
        <w:t>01.</w:t>
      </w:r>
      <w:r w:rsidRPr="00060EFA">
        <w:rPr>
          <w:rFonts w:ascii="Times New Roman" w:hAnsi="Times New Roman" w:cs="Times New Roman"/>
          <w:sz w:val="22"/>
          <w:szCs w:val="22"/>
          <w:lang w:val="de-DE"/>
        </w:rPr>
        <w:t xml:space="preserve">2004 </w:t>
      </w:r>
      <w:r w:rsidR="009C38D2">
        <w:rPr>
          <w:rFonts w:ascii="Times New Roman" w:hAnsi="Times New Roman" w:cs="Times New Roman"/>
          <w:sz w:val="22"/>
          <w:szCs w:val="22"/>
          <w:lang w:val="de-DE"/>
        </w:rPr>
        <w:t>ü</w:t>
      </w:r>
      <w:r w:rsidRPr="00060EFA">
        <w:rPr>
          <w:rFonts w:ascii="Times New Roman" w:hAnsi="Times New Roman" w:cs="Times New Roman"/>
          <w:sz w:val="22"/>
          <w:szCs w:val="22"/>
          <w:lang w:val="de-DE"/>
        </w:rPr>
        <w:t>ber die Kontrolle von Unternehmenszusammenschlüssen</w:t>
      </w:r>
      <w:r w:rsidR="009C38D2">
        <w:rPr>
          <w:rFonts w:ascii="Times New Roman" w:hAnsi="Times New Roman" w:cs="Times New Roman"/>
          <w:sz w:val="22"/>
          <w:szCs w:val="22"/>
          <w:lang w:val="de-DE"/>
        </w:rPr>
        <w:t xml:space="preserve"> („EG-Fusionskontrollverordnung“) ABl 2004 L 024.</w:t>
      </w:r>
    </w:p>
  </w:footnote>
  <w:footnote w:id="60">
    <w:p w14:paraId="12AE9830" w14:textId="4F152640" w:rsidR="0025245E" w:rsidRPr="00060EFA" w:rsidRDefault="0025245E" w:rsidP="00905D01">
      <w:pPr>
        <w:pStyle w:val="FootnoteText"/>
        <w:rPr>
          <w:rFonts w:ascii="Times New Roman" w:hAnsi="Times New Roman" w:cs="Times New Roman"/>
          <w:sz w:val="22"/>
          <w:szCs w:val="22"/>
          <w:lang w:val="de-DE"/>
        </w:rPr>
      </w:pPr>
      <w:r w:rsidRPr="002B6E2B">
        <w:rPr>
          <w:rFonts w:ascii="Times New Roman" w:hAnsi="Times New Roman" w:cs="Times New Roman"/>
          <w:sz w:val="22"/>
          <w:szCs w:val="22"/>
          <w:vertAlign w:val="superscript"/>
          <w:lang w:val="de-DE"/>
        </w:rPr>
        <w:footnoteRef/>
      </w:r>
      <w:r w:rsidRPr="00060EFA">
        <w:rPr>
          <w:rFonts w:ascii="Times New Roman" w:hAnsi="Times New Roman" w:cs="Times New Roman"/>
          <w:sz w:val="22"/>
          <w:szCs w:val="22"/>
          <w:lang w:val="de-DE"/>
        </w:rPr>
        <w:t xml:space="preserve"> Siehe </w:t>
      </w:r>
      <w:r w:rsidR="00AF79A6">
        <w:rPr>
          <w:rFonts w:ascii="Times New Roman" w:hAnsi="Times New Roman" w:cs="Times New Roman"/>
          <w:sz w:val="22"/>
          <w:szCs w:val="22"/>
          <w:lang w:val="de-DE"/>
        </w:rPr>
        <w:t xml:space="preserve">dazu ausführlicher unter </w:t>
      </w:r>
      <w:r w:rsidR="00AF79A6" w:rsidRPr="00AF79A6">
        <w:rPr>
          <w:rFonts w:ascii="Times New Roman" w:hAnsi="Times New Roman" w:cs="Times New Roman"/>
          <w:sz w:val="22"/>
          <w:szCs w:val="22"/>
          <w:lang w:val="de-DE"/>
        </w:rPr>
        <w:t>https://www.europarl.europa.eu/factsheets/de/sheet/34/vergabe-offentlicher-auftrage</w:t>
      </w:r>
      <w:r w:rsidR="00AF79A6">
        <w:rPr>
          <w:rFonts w:ascii="Times New Roman" w:hAnsi="Times New Roman" w:cs="Times New Roman"/>
          <w:sz w:val="22"/>
          <w:szCs w:val="22"/>
          <w:lang w:val="de-DE"/>
        </w:rPr>
        <w:t>, zuletzt abgerufen am 27.12.2023.</w:t>
      </w:r>
    </w:p>
  </w:footnote>
  <w:footnote w:id="61">
    <w:p w14:paraId="6270ED8D" w14:textId="3257EA43" w:rsidR="00D124F1" w:rsidRPr="00060EFA" w:rsidRDefault="00D124F1" w:rsidP="00905D01">
      <w:pPr>
        <w:pStyle w:val="FootnoteText"/>
        <w:rPr>
          <w:rFonts w:ascii="Times New Roman" w:hAnsi="Times New Roman" w:cs="Times New Roman"/>
          <w:sz w:val="22"/>
          <w:szCs w:val="22"/>
          <w:lang w:val="de-DE"/>
        </w:rPr>
      </w:pPr>
      <w:r w:rsidRPr="00060EFA">
        <w:rPr>
          <w:rStyle w:val="FootnoteReference"/>
          <w:rFonts w:ascii="Times New Roman" w:hAnsi="Times New Roman" w:cs="Times New Roman"/>
          <w:sz w:val="22"/>
          <w:szCs w:val="22"/>
        </w:rPr>
        <w:footnoteRef/>
      </w:r>
      <w:r w:rsidRPr="00060EFA">
        <w:rPr>
          <w:rFonts w:ascii="Times New Roman" w:hAnsi="Times New Roman" w:cs="Times New Roman"/>
          <w:sz w:val="22"/>
          <w:szCs w:val="22"/>
          <w:lang w:val="de-DE"/>
        </w:rPr>
        <w:t xml:space="preserve"> </w:t>
      </w:r>
      <w:r w:rsidR="003F1A2A" w:rsidRPr="00060EFA">
        <w:rPr>
          <w:rFonts w:ascii="Times New Roman" w:hAnsi="Times New Roman" w:cs="Times New Roman"/>
          <w:sz w:val="22"/>
          <w:szCs w:val="22"/>
          <w:lang w:val="de-DE"/>
        </w:rPr>
        <w:t>Verordnung (EU) 2022/2560 des Europäischen Parlaments und des Rates v</w:t>
      </w:r>
      <w:r w:rsidR="003F1A2A">
        <w:rPr>
          <w:rFonts w:ascii="Times New Roman" w:hAnsi="Times New Roman" w:cs="Times New Roman"/>
          <w:sz w:val="22"/>
          <w:szCs w:val="22"/>
          <w:lang w:val="de-DE"/>
        </w:rPr>
        <w:t>.</w:t>
      </w:r>
      <w:r w:rsidR="003F1A2A" w:rsidRPr="00060EFA">
        <w:rPr>
          <w:rFonts w:ascii="Times New Roman" w:hAnsi="Times New Roman" w:cs="Times New Roman"/>
          <w:sz w:val="22"/>
          <w:szCs w:val="22"/>
          <w:lang w:val="de-DE"/>
        </w:rPr>
        <w:t xml:space="preserve"> 14.</w:t>
      </w:r>
      <w:r w:rsidR="003F1A2A">
        <w:rPr>
          <w:rFonts w:ascii="Times New Roman" w:hAnsi="Times New Roman" w:cs="Times New Roman"/>
          <w:sz w:val="22"/>
          <w:szCs w:val="22"/>
          <w:lang w:val="de-DE"/>
        </w:rPr>
        <w:t>12.</w:t>
      </w:r>
      <w:r w:rsidR="003F1A2A" w:rsidRPr="00060EFA">
        <w:rPr>
          <w:rFonts w:ascii="Times New Roman" w:hAnsi="Times New Roman" w:cs="Times New Roman"/>
          <w:sz w:val="22"/>
          <w:szCs w:val="22"/>
          <w:lang w:val="de-DE"/>
        </w:rPr>
        <w:t xml:space="preserve">2022 über den Binnenmarkt verzerrende drittstaatliche Subventionen, ABl </w:t>
      </w:r>
      <w:r w:rsidR="003F1A2A">
        <w:rPr>
          <w:rFonts w:ascii="Times New Roman" w:hAnsi="Times New Roman" w:cs="Times New Roman"/>
          <w:sz w:val="22"/>
          <w:szCs w:val="22"/>
          <w:lang w:val="de-DE"/>
        </w:rPr>
        <w:t xml:space="preserve">2022 </w:t>
      </w:r>
      <w:r w:rsidR="003F1A2A" w:rsidRPr="00060EFA">
        <w:rPr>
          <w:rFonts w:ascii="Times New Roman" w:hAnsi="Times New Roman" w:cs="Times New Roman"/>
          <w:sz w:val="22"/>
          <w:szCs w:val="22"/>
          <w:lang w:val="de-DE"/>
        </w:rPr>
        <w:t>L 330</w:t>
      </w:r>
      <w:r w:rsidR="003F1A2A">
        <w:rPr>
          <w:rFonts w:ascii="Times New Roman" w:hAnsi="Times New Roman" w:cs="Times New Roman"/>
          <w:sz w:val="22"/>
          <w:szCs w:val="22"/>
          <w:lang w:val="de-DE"/>
        </w:rPr>
        <w:t>/1.</w:t>
      </w:r>
    </w:p>
  </w:footnote>
  <w:footnote w:id="62">
    <w:p w14:paraId="0B8D2801" w14:textId="42C4859A" w:rsidR="00DD3457" w:rsidRPr="00DD3457" w:rsidRDefault="00DD3457">
      <w:pPr>
        <w:pStyle w:val="FootnoteText"/>
        <w:rPr>
          <w:lang w:val="de-DE"/>
        </w:rPr>
      </w:pPr>
      <w:r>
        <w:rPr>
          <w:rStyle w:val="FootnoteReference"/>
        </w:rPr>
        <w:footnoteRef/>
      </w:r>
      <w:r w:rsidRPr="00DD3457">
        <w:rPr>
          <w:lang w:val="de-DE"/>
        </w:rPr>
        <w:t xml:space="preserve"> </w:t>
      </w:r>
      <w:r w:rsidRPr="00DD3457">
        <w:rPr>
          <w:rFonts w:ascii="Times New Roman" w:hAnsi="Times New Roman" w:cs="Times New Roman"/>
          <w:sz w:val="22"/>
          <w:szCs w:val="22"/>
          <w:lang w:val="de-DE"/>
        </w:rPr>
        <w:t>Artikel 20 3) a Zusammenschlüsse und Anmeldeschwellen Verordnung (EU) 2022/2560 des Europäischen Parlaments und des Rates v. 14.12.2022 über den Binnenmarkt verzerrende drittstaatliche Subventionen, ABl 2022 L 330/1.</w:t>
      </w:r>
    </w:p>
  </w:footnote>
  <w:footnote w:id="63">
    <w:p w14:paraId="7211AD02" w14:textId="2F657EA6" w:rsidR="0059586E" w:rsidRPr="00060EFA" w:rsidRDefault="0059586E" w:rsidP="00905D01">
      <w:pPr>
        <w:rPr>
          <w:rFonts w:ascii="Times New Roman" w:hAnsi="Times New Roman" w:cs="Times New Roman"/>
          <w:lang w:val="de-DE"/>
        </w:rPr>
      </w:pPr>
      <w:r w:rsidRPr="00060EFA">
        <w:rPr>
          <w:rStyle w:val="FootnoteReference"/>
          <w:rFonts w:ascii="Times New Roman" w:hAnsi="Times New Roman" w:cs="Times New Roman"/>
        </w:rPr>
        <w:footnoteRef/>
      </w:r>
      <w:r w:rsidRPr="00060EFA">
        <w:rPr>
          <w:rFonts w:ascii="Times New Roman" w:hAnsi="Times New Roman" w:cs="Times New Roman"/>
          <w:lang w:val="de-DE"/>
        </w:rPr>
        <w:t xml:space="preserve"> Kapitel 4 der </w:t>
      </w:r>
      <w:r w:rsidR="003F1A2A">
        <w:rPr>
          <w:rFonts w:ascii="Times New Roman" w:hAnsi="Times New Roman" w:cs="Times New Roman"/>
          <w:lang w:val="de-DE"/>
        </w:rPr>
        <w:t>oben genannten VO (EU) 2022/2560</w:t>
      </w:r>
      <w:r w:rsidRPr="00060EFA">
        <w:rPr>
          <w:rFonts w:ascii="Times New Roman" w:hAnsi="Times New Roman" w:cs="Times New Roman"/>
          <w:lang w:val="de-DE"/>
        </w:rPr>
        <w:t xml:space="preserve"> sieht Regelungen für öffentliche Vergabeverfahren vor. Die Regelungen erfassen Verfahren für die Vergabe von Bau-, Liefer- und Dienstleistungsaufträgen sowie Bau- und Dienstleistungskonzessionen mit Ausnahme von verteidigungs- und sicherheitsrelevanten Aufträgen (vgl. Art. 28 Abs. 1 und 3 FSR).  </w:t>
      </w:r>
    </w:p>
    <w:p w14:paraId="2B27136C" w14:textId="77777777" w:rsidR="0059586E" w:rsidRPr="00361EA5" w:rsidRDefault="0059586E" w:rsidP="0059586E">
      <w:pPr>
        <w:pStyle w:val="FootnoteText"/>
        <w:rPr>
          <w:lang w:val="de-DE"/>
        </w:rPr>
      </w:pPr>
    </w:p>
  </w:footnote>
  <w:footnote w:id="64">
    <w:p w14:paraId="33DE5DEC" w14:textId="32B81AD0" w:rsidR="007B60DA" w:rsidRPr="007B60DA" w:rsidRDefault="007B60DA">
      <w:pPr>
        <w:pStyle w:val="FootnoteText"/>
        <w:rPr>
          <w:rFonts w:ascii="Times New Roman" w:hAnsi="Times New Roman" w:cs="Times New Roman"/>
          <w:sz w:val="22"/>
          <w:szCs w:val="22"/>
          <w:lang w:val="de-DE"/>
        </w:rPr>
      </w:pPr>
      <w:r>
        <w:rPr>
          <w:rStyle w:val="FootnoteReference"/>
        </w:rPr>
        <w:footnoteRef/>
      </w:r>
      <w:r w:rsidRPr="007B60DA">
        <w:rPr>
          <w:lang w:val="de-DE"/>
        </w:rPr>
        <w:t xml:space="preserve"> </w:t>
      </w:r>
      <w:r w:rsidRPr="007B60DA">
        <w:rPr>
          <w:rFonts w:ascii="Times New Roman" w:hAnsi="Times New Roman" w:cs="Times New Roman"/>
          <w:sz w:val="22"/>
          <w:szCs w:val="22"/>
          <w:lang w:val="de-DE"/>
        </w:rPr>
        <w:t>Vergleiche https://commission.europa.eu/strategy-and-policy/priorities-2019-2024/europe-fit-digital-age/european-industrial-strategy/foreign-subsidies-regulation_de</w:t>
      </w:r>
    </w:p>
  </w:footnote>
  <w:footnote w:id="65">
    <w:p w14:paraId="39338DED" w14:textId="21B37726" w:rsidR="00DD3457" w:rsidRPr="00DD3457" w:rsidRDefault="00DD3457">
      <w:pPr>
        <w:pStyle w:val="FootnoteText"/>
        <w:rPr>
          <w:rFonts w:ascii="Times New Roman" w:hAnsi="Times New Roman" w:cs="Times New Roman"/>
          <w:sz w:val="22"/>
          <w:szCs w:val="22"/>
          <w:lang w:val="de-DE"/>
        </w:rPr>
      </w:pPr>
      <w:r>
        <w:rPr>
          <w:rStyle w:val="FootnoteReference"/>
        </w:rPr>
        <w:footnoteRef/>
      </w:r>
      <w:r w:rsidRPr="00DD3457">
        <w:rPr>
          <w:lang w:val="de-DE"/>
        </w:rPr>
        <w:t xml:space="preserve"> </w:t>
      </w:r>
      <w:r w:rsidRPr="00DD3457">
        <w:rPr>
          <w:rFonts w:ascii="Times New Roman" w:hAnsi="Times New Roman" w:cs="Times New Roman"/>
          <w:sz w:val="22"/>
          <w:szCs w:val="22"/>
          <w:lang w:val="de-DE"/>
        </w:rPr>
        <w:t>Artikel 3 Vorliegen einer drittstaatlichen Subvention</w:t>
      </w:r>
      <w:r>
        <w:rPr>
          <w:rFonts w:ascii="Times New Roman" w:hAnsi="Times New Roman" w:cs="Times New Roman"/>
          <w:sz w:val="22"/>
          <w:szCs w:val="22"/>
          <w:lang w:val="de-DE"/>
        </w:rPr>
        <w:t xml:space="preserve">, </w:t>
      </w:r>
      <w:r w:rsidRPr="00DD3457">
        <w:rPr>
          <w:rFonts w:ascii="Times New Roman" w:hAnsi="Times New Roman" w:cs="Times New Roman"/>
          <w:sz w:val="22"/>
          <w:szCs w:val="22"/>
          <w:lang w:val="de-DE"/>
        </w:rPr>
        <w:t>Verordnung (EU) 2022/2560 des Europäischen Parlaments und des Rates v. 14.12.2022 über den Binnenmarkt verzerrende drittstaatliche Subventionen, ABl 2022 L 330/1</w:t>
      </w:r>
      <w:r w:rsidR="006321FD">
        <w:rPr>
          <w:rFonts w:ascii="Times New Roman" w:hAnsi="Times New Roman" w:cs="Times New Roman"/>
          <w:sz w:val="22"/>
          <w:szCs w:val="22"/>
          <w:lang w:val="de-DE"/>
        </w:rPr>
        <w:t xml:space="preserve"> (FSR)</w:t>
      </w:r>
    </w:p>
  </w:footnote>
  <w:footnote w:id="66">
    <w:p w14:paraId="79B5ADC9" w14:textId="0CA8E9FE" w:rsidR="009A7AE9" w:rsidRPr="009A7AE9" w:rsidRDefault="009A7AE9">
      <w:pPr>
        <w:pStyle w:val="FootnoteText"/>
        <w:rPr>
          <w:lang w:val="de-DE"/>
        </w:rPr>
      </w:pPr>
      <w:r>
        <w:rPr>
          <w:rStyle w:val="FootnoteReference"/>
        </w:rPr>
        <w:footnoteRef/>
      </w:r>
      <w:r w:rsidRPr="009A7AE9">
        <w:rPr>
          <w:lang w:val="de-DE"/>
        </w:rPr>
        <w:t xml:space="preserve"> </w:t>
      </w:r>
      <w:r w:rsidRPr="009A7AE9">
        <w:rPr>
          <w:rFonts w:ascii="Times New Roman" w:hAnsi="Times New Roman" w:cs="Times New Roman"/>
          <w:sz w:val="22"/>
          <w:szCs w:val="22"/>
          <w:lang w:val="de-DE"/>
        </w:rPr>
        <w:t>Siehe Ablaufschema in https://commission.europa.eu/strategy-and-policy/priorities-2019-2024/europe-fit-digital-age/european-industrial-strategy/foreign-subsidies-regulation_de#verordnung-%C3%BCber-subventionen-aus-drittstaaten</w:t>
      </w:r>
    </w:p>
  </w:footnote>
  <w:footnote w:id="67">
    <w:p w14:paraId="28040275" w14:textId="6A902FEE" w:rsidR="006321FD" w:rsidRPr="006321FD" w:rsidRDefault="006321FD">
      <w:pPr>
        <w:pStyle w:val="FootnoteText"/>
        <w:rPr>
          <w:sz w:val="22"/>
          <w:szCs w:val="22"/>
          <w:lang w:val="de-DE"/>
        </w:rPr>
      </w:pPr>
      <w:r>
        <w:rPr>
          <w:rStyle w:val="FootnoteReference"/>
        </w:rPr>
        <w:footnoteRef/>
      </w:r>
      <w:r w:rsidRPr="006321FD">
        <w:rPr>
          <w:lang w:val="de-DE"/>
        </w:rPr>
        <w:t xml:space="preserve"> </w:t>
      </w:r>
      <w:r>
        <w:rPr>
          <w:rFonts w:ascii="Times New Roman" w:eastAsia="Times New Roman" w:hAnsi="Times New Roman" w:cs="Times New Roman"/>
          <w:color w:val="242424"/>
          <w:sz w:val="22"/>
          <w:szCs w:val="22"/>
          <w:lang w:val="de-DE" w:eastAsia="en-GB"/>
        </w:rPr>
        <w:t>V</w:t>
      </w:r>
      <w:r w:rsidRPr="006321FD">
        <w:rPr>
          <w:rFonts w:ascii="Times New Roman" w:eastAsia="Times New Roman" w:hAnsi="Times New Roman" w:cs="Times New Roman"/>
          <w:color w:val="242424"/>
          <w:sz w:val="22"/>
          <w:szCs w:val="22"/>
          <w:lang w:val="de-DE" w:eastAsia="en-GB"/>
        </w:rPr>
        <w:t>gl. Art. 17 Abs. 2, Art. 26 Abs. 2, Art. 33 Abs. 2 FSR</w:t>
      </w:r>
    </w:p>
  </w:footnote>
  <w:footnote w:id="68">
    <w:p w14:paraId="1041935B" w14:textId="5ED92F67" w:rsidR="006321FD" w:rsidRPr="006321FD" w:rsidRDefault="006321FD">
      <w:pPr>
        <w:pStyle w:val="FootnoteText"/>
        <w:rPr>
          <w:lang w:val="de-DE"/>
        </w:rPr>
      </w:pPr>
      <w:r w:rsidRPr="006321FD">
        <w:rPr>
          <w:rStyle w:val="FootnoteReference"/>
          <w:sz w:val="22"/>
          <w:szCs w:val="22"/>
        </w:rPr>
        <w:footnoteRef/>
      </w:r>
      <w:r w:rsidRPr="006321FD">
        <w:rPr>
          <w:sz w:val="22"/>
          <w:szCs w:val="22"/>
          <w:lang w:val="de-DE"/>
        </w:rPr>
        <w:t xml:space="preserve"> </w:t>
      </w:r>
      <w:r>
        <w:rPr>
          <w:rFonts w:ascii="Times New Roman" w:eastAsia="Times New Roman" w:hAnsi="Times New Roman" w:cs="Times New Roman"/>
          <w:color w:val="242424"/>
          <w:sz w:val="22"/>
          <w:szCs w:val="22"/>
          <w:lang w:val="de-DE" w:eastAsia="en-GB"/>
        </w:rPr>
        <w:t>V</w:t>
      </w:r>
      <w:r w:rsidRPr="006321FD">
        <w:rPr>
          <w:rFonts w:ascii="Times New Roman" w:eastAsia="Times New Roman" w:hAnsi="Times New Roman" w:cs="Times New Roman"/>
          <w:color w:val="242424"/>
          <w:sz w:val="22"/>
          <w:szCs w:val="22"/>
          <w:lang w:val="de-DE" w:eastAsia="en-GB"/>
        </w:rPr>
        <w:t>gl. Art. 26 Abs. 3, 33 Abs. 3 FSR.</w:t>
      </w:r>
    </w:p>
  </w:footnote>
  <w:footnote w:id="69">
    <w:p w14:paraId="032B85C1" w14:textId="77777777" w:rsidR="00014056" w:rsidRPr="00014056" w:rsidRDefault="00014056" w:rsidP="00014056">
      <w:pPr>
        <w:pStyle w:val="FootnoteText"/>
        <w:rPr>
          <w:rFonts w:ascii="Times New Roman" w:hAnsi="Times New Roman" w:cs="Times New Roman"/>
          <w:sz w:val="22"/>
          <w:szCs w:val="22"/>
          <w:lang w:val="de-DE"/>
        </w:rPr>
      </w:pPr>
      <w:r>
        <w:rPr>
          <w:rStyle w:val="FootnoteReference"/>
        </w:rPr>
        <w:footnoteRef/>
      </w:r>
      <w:r w:rsidRPr="00014056">
        <w:rPr>
          <w:lang w:val="de-DE"/>
        </w:rPr>
        <w:t xml:space="preserve"> </w:t>
      </w:r>
      <w:r w:rsidRPr="00014056">
        <w:rPr>
          <w:rFonts w:ascii="Times New Roman" w:hAnsi="Times New Roman" w:cs="Times New Roman"/>
          <w:sz w:val="22"/>
          <w:szCs w:val="22"/>
          <w:lang w:val="de-DE"/>
        </w:rPr>
        <w:t>COM(2021) 66 final.</w:t>
      </w:r>
    </w:p>
    <w:p w14:paraId="7F6CE050" w14:textId="37B6E8F2" w:rsidR="00014056" w:rsidRPr="00014056" w:rsidRDefault="00014056">
      <w:pPr>
        <w:pStyle w:val="FootnoteText"/>
        <w:rPr>
          <w:rFonts w:ascii="Times New Roman" w:hAnsi="Times New Roman" w:cs="Times New Roman"/>
          <w:sz w:val="22"/>
          <w:szCs w:val="22"/>
          <w:lang w:val="de-DE"/>
        </w:rPr>
      </w:pPr>
    </w:p>
  </w:footnote>
  <w:footnote w:id="70">
    <w:p w14:paraId="205BEE86" w14:textId="5132CB41" w:rsidR="00014056" w:rsidRPr="00014056" w:rsidRDefault="00014056">
      <w:pPr>
        <w:pStyle w:val="FootnoteText"/>
        <w:rPr>
          <w:rFonts w:ascii="Times New Roman" w:hAnsi="Times New Roman" w:cs="Times New Roman"/>
          <w:sz w:val="22"/>
          <w:szCs w:val="22"/>
          <w:lang w:val="de-DE"/>
        </w:rPr>
      </w:pPr>
      <w:r w:rsidRPr="00014056">
        <w:rPr>
          <w:rStyle w:val="FootnoteReference"/>
          <w:rFonts w:ascii="Times New Roman" w:hAnsi="Times New Roman" w:cs="Times New Roman"/>
          <w:sz w:val="22"/>
          <w:szCs w:val="22"/>
        </w:rPr>
        <w:footnoteRef/>
      </w:r>
      <w:r w:rsidRPr="00014056">
        <w:rPr>
          <w:rFonts w:ascii="Times New Roman" w:hAnsi="Times New Roman" w:cs="Times New Roman"/>
          <w:sz w:val="22"/>
          <w:szCs w:val="22"/>
          <w:lang w:val="de-DE"/>
        </w:rPr>
        <w:t xml:space="preserve">   Siehe dazu weiterführend: Berger in Rebeggiani/Dieter/Kolev/Berger, Ein Plädoyer für den Freihandel, 2021,</w:t>
      </w:r>
    </w:p>
  </w:footnote>
  <w:footnote w:id="71">
    <w:p w14:paraId="3FE17699" w14:textId="03BDC1BC" w:rsidR="00207634" w:rsidRPr="00207634" w:rsidRDefault="00207634">
      <w:pPr>
        <w:pStyle w:val="FootnoteText"/>
        <w:rPr>
          <w:lang w:val="de-DE"/>
        </w:rPr>
      </w:pPr>
      <w:r>
        <w:rPr>
          <w:rStyle w:val="FootnoteReference"/>
        </w:rPr>
        <w:footnoteRef/>
      </w:r>
      <w:r w:rsidRPr="00207634">
        <w:rPr>
          <w:lang w:val="de-DE"/>
        </w:rPr>
        <w:t xml:space="preserve"> </w:t>
      </w:r>
      <w:r w:rsidRPr="00207634">
        <w:rPr>
          <w:rFonts w:ascii="Times New Roman" w:hAnsi="Times New Roman" w:cs="Times New Roman"/>
          <w:sz w:val="22"/>
          <w:szCs w:val="22"/>
          <w:lang w:val="de-DE"/>
        </w:rPr>
        <w:t>Siehe dazu COM(2022) 409 final  MITTEILUNG DER KOMMISSION AN DAS EUROPÄISCHE PARLAMENT, DEN RAT, DEN EUROPÄISCHEN WIRTSCHAFTS- UND SOZIALAUSSCHUSS UND DEN AUSSCHUSS DER REGIONEN Die Macht von Handelspartnerschaften: gemeinsam für ein grünes und gerechtes Wirtschaftswachstum</w:t>
      </w:r>
      <w:r w:rsidRPr="00207634">
        <w:rPr>
          <w:lang w:val="de-DE"/>
        </w:rPr>
        <w:t xml:space="preserve">  </w:t>
      </w:r>
    </w:p>
  </w:footnote>
  <w:footnote w:id="72">
    <w:p w14:paraId="0AAC8CB1" w14:textId="013C2683" w:rsidR="00387BC0" w:rsidRPr="00387BC0" w:rsidRDefault="00387BC0">
      <w:pPr>
        <w:pStyle w:val="FootnoteText"/>
        <w:rPr>
          <w:rFonts w:ascii="Times New Roman" w:hAnsi="Times New Roman" w:cs="Times New Roman"/>
          <w:sz w:val="22"/>
          <w:szCs w:val="22"/>
          <w:lang w:val="de-DE"/>
        </w:rPr>
      </w:pPr>
      <w:r w:rsidRPr="00387BC0">
        <w:rPr>
          <w:rStyle w:val="FootnoteReference"/>
          <w:sz w:val="22"/>
          <w:szCs w:val="22"/>
        </w:rPr>
        <w:footnoteRef/>
      </w:r>
      <w:r w:rsidRPr="00387BC0">
        <w:rPr>
          <w:sz w:val="22"/>
          <w:szCs w:val="22"/>
          <w:lang w:val="de-DE"/>
        </w:rPr>
        <w:t xml:space="preserve"> </w:t>
      </w:r>
      <w:r w:rsidRPr="00387BC0">
        <w:rPr>
          <w:rFonts w:ascii="Times New Roman" w:hAnsi="Times New Roman" w:cs="Times New Roman"/>
          <w:sz w:val="22"/>
          <w:szCs w:val="22"/>
          <w:lang w:val="de-DE"/>
        </w:rPr>
        <w:t xml:space="preserve">Das umfassende Wirtschafts- und Handelsabkommen zwischen der EU und Kanada (CETA) ist am 21. September 2017 vorläufig in Kraft getreten, nachdem die EU-Mitgliedstaaten im Rat sowie das Europäische Parlament ihre Zustimmung gegeben hatten. Vollständig und endgültig in Kraft treten kann das Abkommen erst, wenn es von allen EU-Mitgliedstaaten ratifiziert wurde. Bisher haben jedoch erst 16 Mitgliedsstaaten das "Comprehensive Economic and Trade Agreement" unterzeichnet. </w:t>
      </w:r>
      <w:r w:rsidRPr="00AD1E75">
        <w:rPr>
          <w:rFonts w:ascii="Times New Roman" w:hAnsi="Times New Roman" w:cs="Times New Roman"/>
          <w:sz w:val="22"/>
          <w:szCs w:val="22"/>
          <w:lang w:val="de-DE"/>
        </w:rPr>
        <w:t>Frankreich, Ungarn, Italien oder Polen fehlen etwa noch.</w:t>
      </w:r>
    </w:p>
  </w:footnote>
  <w:footnote w:id="73">
    <w:p w14:paraId="6460984F" w14:textId="77777777" w:rsidR="00F04F40" w:rsidRPr="00DD3457" w:rsidRDefault="00F04F40" w:rsidP="00F04F40">
      <w:pPr>
        <w:pStyle w:val="FootnoteText"/>
        <w:rPr>
          <w:rFonts w:ascii="Times New Roman" w:hAnsi="Times New Roman" w:cs="Times New Roman"/>
          <w:sz w:val="22"/>
          <w:szCs w:val="22"/>
          <w:lang w:val="de-DE"/>
        </w:rPr>
      </w:pPr>
      <w:r w:rsidRPr="00DD3457">
        <w:rPr>
          <w:rStyle w:val="FootnoteReference"/>
          <w:rFonts w:ascii="Times New Roman" w:hAnsi="Times New Roman" w:cs="Times New Roman"/>
          <w:sz w:val="22"/>
          <w:szCs w:val="22"/>
        </w:rPr>
        <w:footnoteRef/>
      </w:r>
      <w:r w:rsidRPr="00DD3457">
        <w:rPr>
          <w:rFonts w:ascii="Times New Roman" w:hAnsi="Times New Roman" w:cs="Times New Roman"/>
          <w:sz w:val="22"/>
          <w:szCs w:val="22"/>
          <w:lang w:val="de-DE"/>
        </w:rPr>
        <w:t xml:space="preserve"> Siehe dazu auch unter https://www.consilium.europa.eu/de/meetings/fac/2018/05/22/trade/, zuletzt abgerufen am 27.12.2023.</w:t>
      </w:r>
    </w:p>
  </w:footnote>
  <w:footnote w:id="74">
    <w:p w14:paraId="323C1166" w14:textId="77777777" w:rsidR="00F04F40" w:rsidRPr="00DD3457" w:rsidRDefault="00F04F40" w:rsidP="00F04F40">
      <w:pPr>
        <w:pStyle w:val="FootnoteText"/>
        <w:rPr>
          <w:rFonts w:ascii="Times New Roman" w:hAnsi="Times New Roman" w:cs="Times New Roman"/>
          <w:sz w:val="22"/>
          <w:szCs w:val="22"/>
          <w:lang w:val="de-DE"/>
        </w:rPr>
      </w:pPr>
      <w:r w:rsidRPr="00DD3457">
        <w:rPr>
          <w:rStyle w:val="FootnoteReference"/>
          <w:rFonts w:ascii="Times New Roman" w:hAnsi="Times New Roman" w:cs="Times New Roman"/>
          <w:sz w:val="22"/>
          <w:szCs w:val="22"/>
        </w:rPr>
        <w:footnoteRef/>
      </w:r>
      <w:r w:rsidRPr="00DD3457">
        <w:rPr>
          <w:rFonts w:ascii="Times New Roman" w:hAnsi="Times New Roman" w:cs="Times New Roman"/>
          <w:sz w:val="22"/>
          <w:szCs w:val="22"/>
          <w:lang w:val="de-DE"/>
        </w:rPr>
        <w:t xml:space="preserve"> Vergleiche https://www.gtai.de/de/trade/eu/zoll/antidumping-subvention-solarglas-mit-ursprung-in-china-540198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881"/>
    <w:multiLevelType w:val="hybridMultilevel"/>
    <w:tmpl w:val="6C789A82"/>
    <w:lvl w:ilvl="0" w:tplc="C448B132">
      <w:start w:val="1"/>
      <w:numFmt w:val="decimal"/>
      <w:lvlText w:val="%1"/>
      <w:lvlJc w:val="left"/>
      <w:pPr>
        <w:ind w:left="720" w:hanging="360"/>
      </w:pPr>
      <w:rPr>
        <w:rFonts w:eastAsiaTheme="majorEastAsia"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8F2EC5"/>
    <w:multiLevelType w:val="hybridMultilevel"/>
    <w:tmpl w:val="DD84A402"/>
    <w:lvl w:ilvl="0" w:tplc="F20AE940">
      <w:start w:val="1"/>
      <w:numFmt w:val="decimal"/>
      <w:lvlText w:val="%1."/>
      <w:lvlJc w:val="left"/>
      <w:pPr>
        <w:ind w:left="720" w:hanging="360"/>
      </w:pPr>
      <w:rPr>
        <w:rFonts w:eastAsiaTheme="majorEastAsia"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7D0006"/>
    <w:multiLevelType w:val="hybridMultilevel"/>
    <w:tmpl w:val="F77AA344"/>
    <w:lvl w:ilvl="0" w:tplc="07F2288C">
      <w:start w:val="1"/>
      <w:numFmt w:val="upperLetter"/>
      <w:lvlText w:val="%1."/>
      <w:lvlJc w:val="left"/>
      <w:pPr>
        <w:ind w:left="720" w:hanging="360"/>
      </w:pPr>
      <w:rPr>
        <w:rFonts w:eastAsiaTheme="majorEastAsia"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001C45"/>
    <w:multiLevelType w:val="hybridMultilevel"/>
    <w:tmpl w:val="149C1018"/>
    <w:lvl w:ilvl="0" w:tplc="B5BC8502">
      <w:start w:val="1"/>
      <w:numFmt w:val="decimal"/>
      <w:lvlText w:val="%1."/>
      <w:lvlJc w:val="left"/>
      <w:pPr>
        <w:ind w:left="720" w:hanging="360"/>
      </w:pPr>
      <w:rPr>
        <w:rFonts w:eastAsiaTheme="majorEastAsia"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CC94BDC"/>
    <w:multiLevelType w:val="hybridMultilevel"/>
    <w:tmpl w:val="52864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C12850"/>
    <w:multiLevelType w:val="hybridMultilevel"/>
    <w:tmpl w:val="43B28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0E1362"/>
    <w:multiLevelType w:val="hybridMultilevel"/>
    <w:tmpl w:val="1CD8F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0548DB"/>
    <w:multiLevelType w:val="hybridMultilevel"/>
    <w:tmpl w:val="416C1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114662">
    <w:abstractNumId w:val="4"/>
  </w:num>
  <w:num w:numId="2" w16cid:durableId="1168446497">
    <w:abstractNumId w:val="1"/>
  </w:num>
  <w:num w:numId="3" w16cid:durableId="781415301">
    <w:abstractNumId w:val="2"/>
  </w:num>
  <w:num w:numId="4" w16cid:durableId="721439497">
    <w:abstractNumId w:val="0"/>
  </w:num>
  <w:num w:numId="5" w16cid:durableId="1134955318">
    <w:abstractNumId w:val="3"/>
  </w:num>
  <w:num w:numId="6" w16cid:durableId="141317222">
    <w:abstractNumId w:val="5"/>
  </w:num>
  <w:num w:numId="7" w16cid:durableId="1849635836">
    <w:abstractNumId w:val="6"/>
  </w:num>
  <w:num w:numId="8" w16cid:durableId="251856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86E"/>
    <w:rsid w:val="00005413"/>
    <w:rsid w:val="00012478"/>
    <w:rsid w:val="00013F5A"/>
    <w:rsid w:val="00014056"/>
    <w:rsid w:val="00026366"/>
    <w:rsid w:val="0003227B"/>
    <w:rsid w:val="00051301"/>
    <w:rsid w:val="000553B6"/>
    <w:rsid w:val="00060EFA"/>
    <w:rsid w:val="00064484"/>
    <w:rsid w:val="00065766"/>
    <w:rsid w:val="00066A1A"/>
    <w:rsid w:val="00066B18"/>
    <w:rsid w:val="000670BA"/>
    <w:rsid w:val="00073C32"/>
    <w:rsid w:val="00074B3A"/>
    <w:rsid w:val="000B3D15"/>
    <w:rsid w:val="000B474E"/>
    <w:rsid w:val="000C4645"/>
    <w:rsid w:val="000D0E4B"/>
    <w:rsid w:val="000D5299"/>
    <w:rsid w:val="000E43CC"/>
    <w:rsid w:val="000F0E69"/>
    <w:rsid w:val="000F1810"/>
    <w:rsid w:val="0010472C"/>
    <w:rsid w:val="00106774"/>
    <w:rsid w:val="001103EE"/>
    <w:rsid w:val="0011328D"/>
    <w:rsid w:val="0011684A"/>
    <w:rsid w:val="00122481"/>
    <w:rsid w:val="00131DAE"/>
    <w:rsid w:val="001456BF"/>
    <w:rsid w:val="00172BCF"/>
    <w:rsid w:val="00196583"/>
    <w:rsid w:val="00197AE3"/>
    <w:rsid w:val="001A0BA3"/>
    <w:rsid w:val="001A0EA3"/>
    <w:rsid w:val="001A1467"/>
    <w:rsid w:val="001A36FC"/>
    <w:rsid w:val="001A3E97"/>
    <w:rsid w:val="001A7A53"/>
    <w:rsid w:val="001B1ABC"/>
    <w:rsid w:val="001B52B5"/>
    <w:rsid w:val="001C22B1"/>
    <w:rsid w:val="001D2B30"/>
    <w:rsid w:val="001D3F76"/>
    <w:rsid w:val="001D5F1C"/>
    <w:rsid w:val="001D7367"/>
    <w:rsid w:val="001D7445"/>
    <w:rsid w:val="001E6AE5"/>
    <w:rsid w:val="001F33BE"/>
    <w:rsid w:val="001F5EDF"/>
    <w:rsid w:val="001F6F38"/>
    <w:rsid w:val="00207634"/>
    <w:rsid w:val="00222D99"/>
    <w:rsid w:val="0024114E"/>
    <w:rsid w:val="00245A48"/>
    <w:rsid w:val="002479EA"/>
    <w:rsid w:val="00247CE9"/>
    <w:rsid w:val="0025245E"/>
    <w:rsid w:val="002678FA"/>
    <w:rsid w:val="00267AC8"/>
    <w:rsid w:val="002760ED"/>
    <w:rsid w:val="00281A8A"/>
    <w:rsid w:val="00287591"/>
    <w:rsid w:val="00290896"/>
    <w:rsid w:val="002960DC"/>
    <w:rsid w:val="002A4A0F"/>
    <w:rsid w:val="002A4EBC"/>
    <w:rsid w:val="002A545A"/>
    <w:rsid w:val="002A7137"/>
    <w:rsid w:val="002B5AEF"/>
    <w:rsid w:val="002B6ABA"/>
    <w:rsid w:val="002B6E2B"/>
    <w:rsid w:val="002B7D2E"/>
    <w:rsid w:val="002C2C3D"/>
    <w:rsid w:val="002D5BB8"/>
    <w:rsid w:val="002D602B"/>
    <w:rsid w:val="002F0682"/>
    <w:rsid w:val="002F33C6"/>
    <w:rsid w:val="002F4636"/>
    <w:rsid w:val="00302D3B"/>
    <w:rsid w:val="00316256"/>
    <w:rsid w:val="00327F5A"/>
    <w:rsid w:val="0034372B"/>
    <w:rsid w:val="00347A34"/>
    <w:rsid w:val="00355CC8"/>
    <w:rsid w:val="00361739"/>
    <w:rsid w:val="00362C7F"/>
    <w:rsid w:val="003709A0"/>
    <w:rsid w:val="00370E56"/>
    <w:rsid w:val="00374924"/>
    <w:rsid w:val="00387BC0"/>
    <w:rsid w:val="00391C32"/>
    <w:rsid w:val="00392A35"/>
    <w:rsid w:val="00393D54"/>
    <w:rsid w:val="00395DE0"/>
    <w:rsid w:val="003A6E7F"/>
    <w:rsid w:val="003B7890"/>
    <w:rsid w:val="003C5574"/>
    <w:rsid w:val="003D169F"/>
    <w:rsid w:val="003F1A2A"/>
    <w:rsid w:val="0040518F"/>
    <w:rsid w:val="00406606"/>
    <w:rsid w:val="00410C01"/>
    <w:rsid w:val="00414439"/>
    <w:rsid w:val="00425A3D"/>
    <w:rsid w:val="00431467"/>
    <w:rsid w:val="004361B2"/>
    <w:rsid w:val="0043799D"/>
    <w:rsid w:val="00442D3C"/>
    <w:rsid w:val="004453C8"/>
    <w:rsid w:val="004453F4"/>
    <w:rsid w:val="00450094"/>
    <w:rsid w:val="00451EDE"/>
    <w:rsid w:val="00457111"/>
    <w:rsid w:val="004637EB"/>
    <w:rsid w:val="00464758"/>
    <w:rsid w:val="0046569B"/>
    <w:rsid w:val="0046607D"/>
    <w:rsid w:val="00474C97"/>
    <w:rsid w:val="00484490"/>
    <w:rsid w:val="00484DB8"/>
    <w:rsid w:val="00497B56"/>
    <w:rsid w:val="004B5B20"/>
    <w:rsid w:val="004C652D"/>
    <w:rsid w:val="004C79BB"/>
    <w:rsid w:val="004E0420"/>
    <w:rsid w:val="004F065E"/>
    <w:rsid w:val="0050181B"/>
    <w:rsid w:val="00502E83"/>
    <w:rsid w:val="00504CB8"/>
    <w:rsid w:val="00514317"/>
    <w:rsid w:val="00525596"/>
    <w:rsid w:val="005259E0"/>
    <w:rsid w:val="005368CE"/>
    <w:rsid w:val="005443CE"/>
    <w:rsid w:val="00546191"/>
    <w:rsid w:val="00550FD6"/>
    <w:rsid w:val="005571E3"/>
    <w:rsid w:val="00557EBF"/>
    <w:rsid w:val="00565513"/>
    <w:rsid w:val="005713F0"/>
    <w:rsid w:val="005731BA"/>
    <w:rsid w:val="00576907"/>
    <w:rsid w:val="00581354"/>
    <w:rsid w:val="005826DC"/>
    <w:rsid w:val="0059144F"/>
    <w:rsid w:val="00595661"/>
    <w:rsid w:val="0059586E"/>
    <w:rsid w:val="005A226B"/>
    <w:rsid w:val="005A711B"/>
    <w:rsid w:val="005B03DE"/>
    <w:rsid w:val="005C26B6"/>
    <w:rsid w:val="005C30FD"/>
    <w:rsid w:val="005E29D5"/>
    <w:rsid w:val="005F03B7"/>
    <w:rsid w:val="005F2A77"/>
    <w:rsid w:val="005F2E49"/>
    <w:rsid w:val="005F6F99"/>
    <w:rsid w:val="005F75E3"/>
    <w:rsid w:val="00605194"/>
    <w:rsid w:val="00605B03"/>
    <w:rsid w:val="00613621"/>
    <w:rsid w:val="00614092"/>
    <w:rsid w:val="00614461"/>
    <w:rsid w:val="0062080D"/>
    <w:rsid w:val="00625A3A"/>
    <w:rsid w:val="00630FD7"/>
    <w:rsid w:val="006321FD"/>
    <w:rsid w:val="006347BF"/>
    <w:rsid w:val="0065085F"/>
    <w:rsid w:val="00652B1A"/>
    <w:rsid w:val="00652D84"/>
    <w:rsid w:val="00653961"/>
    <w:rsid w:val="00655387"/>
    <w:rsid w:val="006758AA"/>
    <w:rsid w:val="00676F6D"/>
    <w:rsid w:val="00691AEB"/>
    <w:rsid w:val="00695804"/>
    <w:rsid w:val="006A0C1D"/>
    <w:rsid w:val="006A391C"/>
    <w:rsid w:val="006A5489"/>
    <w:rsid w:val="006B4B1E"/>
    <w:rsid w:val="006C1355"/>
    <w:rsid w:val="006C7FCC"/>
    <w:rsid w:val="006D2DA6"/>
    <w:rsid w:val="006D3847"/>
    <w:rsid w:val="006E32C9"/>
    <w:rsid w:val="006E3D50"/>
    <w:rsid w:val="006E4983"/>
    <w:rsid w:val="006F1020"/>
    <w:rsid w:val="0070020B"/>
    <w:rsid w:val="007140B2"/>
    <w:rsid w:val="00717920"/>
    <w:rsid w:val="0072451D"/>
    <w:rsid w:val="007328B0"/>
    <w:rsid w:val="00734317"/>
    <w:rsid w:val="0073517E"/>
    <w:rsid w:val="00755103"/>
    <w:rsid w:val="00760166"/>
    <w:rsid w:val="00760AB8"/>
    <w:rsid w:val="00795AFC"/>
    <w:rsid w:val="00797367"/>
    <w:rsid w:val="007B60DA"/>
    <w:rsid w:val="007C38B7"/>
    <w:rsid w:val="007D2E30"/>
    <w:rsid w:val="007E17ED"/>
    <w:rsid w:val="007E2A71"/>
    <w:rsid w:val="007E3585"/>
    <w:rsid w:val="007E558B"/>
    <w:rsid w:val="007F082F"/>
    <w:rsid w:val="00811E58"/>
    <w:rsid w:val="008137B2"/>
    <w:rsid w:val="00817F8D"/>
    <w:rsid w:val="00823360"/>
    <w:rsid w:val="008251B4"/>
    <w:rsid w:val="0082775F"/>
    <w:rsid w:val="0083359E"/>
    <w:rsid w:val="00834F6A"/>
    <w:rsid w:val="00840AC9"/>
    <w:rsid w:val="00841BA2"/>
    <w:rsid w:val="00854738"/>
    <w:rsid w:val="0085547A"/>
    <w:rsid w:val="008576A2"/>
    <w:rsid w:val="00866DBB"/>
    <w:rsid w:val="00870B33"/>
    <w:rsid w:val="00872B93"/>
    <w:rsid w:val="0088509D"/>
    <w:rsid w:val="00886088"/>
    <w:rsid w:val="008908CB"/>
    <w:rsid w:val="00893BE2"/>
    <w:rsid w:val="008A325D"/>
    <w:rsid w:val="008B0439"/>
    <w:rsid w:val="008B6756"/>
    <w:rsid w:val="008C0178"/>
    <w:rsid w:val="008C0525"/>
    <w:rsid w:val="008C1D1F"/>
    <w:rsid w:val="008C321F"/>
    <w:rsid w:val="008C3435"/>
    <w:rsid w:val="008C52EF"/>
    <w:rsid w:val="008E0114"/>
    <w:rsid w:val="008E440F"/>
    <w:rsid w:val="008E5BE4"/>
    <w:rsid w:val="008E7023"/>
    <w:rsid w:val="008E77D3"/>
    <w:rsid w:val="008F048F"/>
    <w:rsid w:val="0090109A"/>
    <w:rsid w:val="0090328A"/>
    <w:rsid w:val="00904AD3"/>
    <w:rsid w:val="00904D42"/>
    <w:rsid w:val="00905D01"/>
    <w:rsid w:val="00910EBA"/>
    <w:rsid w:val="0091470E"/>
    <w:rsid w:val="00915E68"/>
    <w:rsid w:val="00915FAC"/>
    <w:rsid w:val="00921643"/>
    <w:rsid w:val="00921FF2"/>
    <w:rsid w:val="00923BAB"/>
    <w:rsid w:val="00925A40"/>
    <w:rsid w:val="00930DD3"/>
    <w:rsid w:val="0093599A"/>
    <w:rsid w:val="0093715B"/>
    <w:rsid w:val="00942A54"/>
    <w:rsid w:val="00946865"/>
    <w:rsid w:val="00946C80"/>
    <w:rsid w:val="00951608"/>
    <w:rsid w:val="009544D2"/>
    <w:rsid w:val="00971D1C"/>
    <w:rsid w:val="009746FB"/>
    <w:rsid w:val="009754C7"/>
    <w:rsid w:val="00977DA3"/>
    <w:rsid w:val="009823E2"/>
    <w:rsid w:val="0099463C"/>
    <w:rsid w:val="009947C3"/>
    <w:rsid w:val="009A4CB9"/>
    <w:rsid w:val="009A5200"/>
    <w:rsid w:val="009A7AE9"/>
    <w:rsid w:val="009C38D2"/>
    <w:rsid w:val="009C5C34"/>
    <w:rsid w:val="009D6364"/>
    <w:rsid w:val="009E1B27"/>
    <w:rsid w:val="009F047C"/>
    <w:rsid w:val="009F36D5"/>
    <w:rsid w:val="009F4EE2"/>
    <w:rsid w:val="00A03708"/>
    <w:rsid w:val="00A04A42"/>
    <w:rsid w:val="00A06A45"/>
    <w:rsid w:val="00A10E3A"/>
    <w:rsid w:val="00A1552A"/>
    <w:rsid w:val="00A20487"/>
    <w:rsid w:val="00A26AFD"/>
    <w:rsid w:val="00A308AE"/>
    <w:rsid w:val="00A3125A"/>
    <w:rsid w:val="00A3249D"/>
    <w:rsid w:val="00A41DD3"/>
    <w:rsid w:val="00A427FC"/>
    <w:rsid w:val="00A47A4D"/>
    <w:rsid w:val="00A47C9D"/>
    <w:rsid w:val="00A61064"/>
    <w:rsid w:val="00A63240"/>
    <w:rsid w:val="00A715EC"/>
    <w:rsid w:val="00A7572E"/>
    <w:rsid w:val="00A85A57"/>
    <w:rsid w:val="00A92D69"/>
    <w:rsid w:val="00AB087C"/>
    <w:rsid w:val="00AB1DDF"/>
    <w:rsid w:val="00AB404B"/>
    <w:rsid w:val="00AB43C5"/>
    <w:rsid w:val="00AB4C30"/>
    <w:rsid w:val="00AD1E75"/>
    <w:rsid w:val="00AD4528"/>
    <w:rsid w:val="00AF4DC8"/>
    <w:rsid w:val="00AF5F55"/>
    <w:rsid w:val="00AF606C"/>
    <w:rsid w:val="00AF79A6"/>
    <w:rsid w:val="00B03BB9"/>
    <w:rsid w:val="00B1261E"/>
    <w:rsid w:val="00B20097"/>
    <w:rsid w:val="00B2085C"/>
    <w:rsid w:val="00B4261F"/>
    <w:rsid w:val="00B50499"/>
    <w:rsid w:val="00B64E28"/>
    <w:rsid w:val="00B66836"/>
    <w:rsid w:val="00B765DD"/>
    <w:rsid w:val="00B8328D"/>
    <w:rsid w:val="00B85A39"/>
    <w:rsid w:val="00B97637"/>
    <w:rsid w:val="00BA23CC"/>
    <w:rsid w:val="00BA4A80"/>
    <w:rsid w:val="00BA5903"/>
    <w:rsid w:val="00BB0802"/>
    <w:rsid w:val="00BB52B3"/>
    <w:rsid w:val="00BC08EF"/>
    <w:rsid w:val="00BC1595"/>
    <w:rsid w:val="00BD1726"/>
    <w:rsid w:val="00BE64CD"/>
    <w:rsid w:val="00BE6726"/>
    <w:rsid w:val="00BF350E"/>
    <w:rsid w:val="00BF452D"/>
    <w:rsid w:val="00BF6C31"/>
    <w:rsid w:val="00BF7BD1"/>
    <w:rsid w:val="00C04338"/>
    <w:rsid w:val="00C06C60"/>
    <w:rsid w:val="00C370DB"/>
    <w:rsid w:val="00C447FF"/>
    <w:rsid w:val="00C450AF"/>
    <w:rsid w:val="00C47D92"/>
    <w:rsid w:val="00C57D0B"/>
    <w:rsid w:val="00C61417"/>
    <w:rsid w:val="00C67B19"/>
    <w:rsid w:val="00C72971"/>
    <w:rsid w:val="00C7396F"/>
    <w:rsid w:val="00C7438A"/>
    <w:rsid w:val="00C75645"/>
    <w:rsid w:val="00CA26BE"/>
    <w:rsid w:val="00CA7A68"/>
    <w:rsid w:val="00CB18C7"/>
    <w:rsid w:val="00CB6188"/>
    <w:rsid w:val="00CC34C4"/>
    <w:rsid w:val="00CC3A96"/>
    <w:rsid w:val="00CD3013"/>
    <w:rsid w:val="00CE10CC"/>
    <w:rsid w:val="00CE393F"/>
    <w:rsid w:val="00CE4D03"/>
    <w:rsid w:val="00D00872"/>
    <w:rsid w:val="00D02310"/>
    <w:rsid w:val="00D124F1"/>
    <w:rsid w:val="00D2201C"/>
    <w:rsid w:val="00D260AD"/>
    <w:rsid w:val="00D302EB"/>
    <w:rsid w:val="00D35AD4"/>
    <w:rsid w:val="00D4247E"/>
    <w:rsid w:val="00D43248"/>
    <w:rsid w:val="00D44893"/>
    <w:rsid w:val="00D53AC5"/>
    <w:rsid w:val="00D557CF"/>
    <w:rsid w:val="00D61F56"/>
    <w:rsid w:val="00D74421"/>
    <w:rsid w:val="00D77B3D"/>
    <w:rsid w:val="00D82AE2"/>
    <w:rsid w:val="00D928FF"/>
    <w:rsid w:val="00D94567"/>
    <w:rsid w:val="00DA73B3"/>
    <w:rsid w:val="00DB4457"/>
    <w:rsid w:val="00DB51B7"/>
    <w:rsid w:val="00DC38F4"/>
    <w:rsid w:val="00DD0EF8"/>
    <w:rsid w:val="00DD1C1F"/>
    <w:rsid w:val="00DD30DF"/>
    <w:rsid w:val="00DD3457"/>
    <w:rsid w:val="00DD5C2E"/>
    <w:rsid w:val="00DF02E5"/>
    <w:rsid w:val="00DF7887"/>
    <w:rsid w:val="00DF79D3"/>
    <w:rsid w:val="00E061B6"/>
    <w:rsid w:val="00E1333F"/>
    <w:rsid w:val="00E20635"/>
    <w:rsid w:val="00E2521E"/>
    <w:rsid w:val="00E33AE3"/>
    <w:rsid w:val="00E44F11"/>
    <w:rsid w:val="00E46AC7"/>
    <w:rsid w:val="00E501B1"/>
    <w:rsid w:val="00E625FB"/>
    <w:rsid w:val="00E67D7F"/>
    <w:rsid w:val="00E82446"/>
    <w:rsid w:val="00E82A3F"/>
    <w:rsid w:val="00E9226A"/>
    <w:rsid w:val="00E93293"/>
    <w:rsid w:val="00E965E8"/>
    <w:rsid w:val="00E96F48"/>
    <w:rsid w:val="00E96F7A"/>
    <w:rsid w:val="00EB33B2"/>
    <w:rsid w:val="00EB49A2"/>
    <w:rsid w:val="00EB745F"/>
    <w:rsid w:val="00ED0D22"/>
    <w:rsid w:val="00ED1096"/>
    <w:rsid w:val="00ED160F"/>
    <w:rsid w:val="00ED2311"/>
    <w:rsid w:val="00EF073F"/>
    <w:rsid w:val="00EF11B5"/>
    <w:rsid w:val="00EF37AA"/>
    <w:rsid w:val="00EF5FA2"/>
    <w:rsid w:val="00F04345"/>
    <w:rsid w:val="00F04F40"/>
    <w:rsid w:val="00F04FDA"/>
    <w:rsid w:val="00F05EA7"/>
    <w:rsid w:val="00F13394"/>
    <w:rsid w:val="00F15B31"/>
    <w:rsid w:val="00F173E4"/>
    <w:rsid w:val="00F17A5C"/>
    <w:rsid w:val="00F267D2"/>
    <w:rsid w:val="00F26F41"/>
    <w:rsid w:val="00F34EE8"/>
    <w:rsid w:val="00F3620A"/>
    <w:rsid w:val="00F3651C"/>
    <w:rsid w:val="00F37FFE"/>
    <w:rsid w:val="00F43A79"/>
    <w:rsid w:val="00F44950"/>
    <w:rsid w:val="00F449C5"/>
    <w:rsid w:val="00F501F4"/>
    <w:rsid w:val="00F61AA0"/>
    <w:rsid w:val="00F64029"/>
    <w:rsid w:val="00F654C5"/>
    <w:rsid w:val="00F71C99"/>
    <w:rsid w:val="00F73E98"/>
    <w:rsid w:val="00F740A1"/>
    <w:rsid w:val="00F767A3"/>
    <w:rsid w:val="00F83CD5"/>
    <w:rsid w:val="00F83D6C"/>
    <w:rsid w:val="00F921EA"/>
    <w:rsid w:val="00F95391"/>
    <w:rsid w:val="00F96623"/>
    <w:rsid w:val="00FA651F"/>
    <w:rsid w:val="00FB3688"/>
    <w:rsid w:val="00FB4134"/>
    <w:rsid w:val="00FC38F7"/>
    <w:rsid w:val="00FD2BC9"/>
    <w:rsid w:val="00FD2E7D"/>
    <w:rsid w:val="00FD59AB"/>
    <w:rsid w:val="00FD6D06"/>
    <w:rsid w:val="00FE3238"/>
    <w:rsid w:val="00FE7DCE"/>
    <w:rsid w:val="00FF1B7D"/>
    <w:rsid w:val="00FF5184"/>
    <w:rsid w:val="00FF5A15"/>
    <w:rsid w:val="00FF6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07B0"/>
  <w15:docId w15:val="{03914C97-21CE-4554-B799-9099F61A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6E"/>
  </w:style>
  <w:style w:type="paragraph" w:styleId="Heading1">
    <w:name w:val="heading 1"/>
    <w:basedOn w:val="Normal"/>
    <w:next w:val="Normal"/>
    <w:link w:val="Heading1Char"/>
    <w:uiPriority w:val="9"/>
    <w:qFormat/>
    <w:rsid w:val="00974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58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86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958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9586E"/>
    <w:rPr>
      <w:color w:val="0000FF"/>
      <w:u w:val="single"/>
    </w:rPr>
  </w:style>
  <w:style w:type="character" w:styleId="Emphasis">
    <w:name w:val="Emphasis"/>
    <w:basedOn w:val="DefaultParagraphFont"/>
    <w:uiPriority w:val="20"/>
    <w:qFormat/>
    <w:rsid w:val="0059586E"/>
    <w:rPr>
      <w:i/>
      <w:iCs/>
    </w:rPr>
  </w:style>
  <w:style w:type="paragraph" w:styleId="FootnoteText">
    <w:name w:val="footnote text"/>
    <w:basedOn w:val="Normal"/>
    <w:link w:val="FootnoteTextChar"/>
    <w:uiPriority w:val="99"/>
    <w:unhideWhenUsed/>
    <w:rsid w:val="0059586E"/>
    <w:pPr>
      <w:spacing w:after="0" w:line="240" w:lineRule="auto"/>
    </w:pPr>
    <w:rPr>
      <w:sz w:val="20"/>
      <w:szCs w:val="20"/>
    </w:rPr>
  </w:style>
  <w:style w:type="character" w:customStyle="1" w:styleId="FootnoteTextChar">
    <w:name w:val="Footnote Text Char"/>
    <w:basedOn w:val="DefaultParagraphFont"/>
    <w:link w:val="FootnoteText"/>
    <w:uiPriority w:val="99"/>
    <w:rsid w:val="0059586E"/>
    <w:rPr>
      <w:sz w:val="20"/>
      <w:szCs w:val="20"/>
    </w:rPr>
  </w:style>
  <w:style w:type="character" w:styleId="FootnoteReference">
    <w:name w:val="footnote reference"/>
    <w:basedOn w:val="DefaultParagraphFont"/>
    <w:uiPriority w:val="99"/>
    <w:semiHidden/>
    <w:unhideWhenUsed/>
    <w:rsid w:val="0059586E"/>
    <w:rPr>
      <w:vertAlign w:val="superscript"/>
    </w:rPr>
  </w:style>
  <w:style w:type="paragraph" w:styleId="Header">
    <w:name w:val="header"/>
    <w:basedOn w:val="Normal"/>
    <w:link w:val="HeaderChar"/>
    <w:uiPriority w:val="99"/>
    <w:unhideWhenUsed/>
    <w:rsid w:val="005958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586E"/>
  </w:style>
  <w:style w:type="paragraph" w:styleId="Footer">
    <w:name w:val="footer"/>
    <w:basedOn w:val="Normal"/>
    <w:link w:val="FooterChar"/>
    <w:uiPriority w:val="99"/>
    <w:unhideWhenUsed/>
    <w:rsid w:val="005958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586E"/>
  </w:style>
  <w:style w:type="paragraph" w:styleId="ListParagraph">
    <w:name w:val="List Paragraph"/>
    <w:basedOn w:val="Normal"/>
    <w:uiPriority w:val="34"/>
    <w:qFormat/>
    <w:rsid w:val="0059586E"/>
    <w:pPr>
      <w:ind w:left="720"/>
      <w:contextualSpacing/>
    </w:pPr>
  </w:style>
  <w:style w:type="character" w:styleId="UnresolvedMention">
    <w:name w:val="Unresolved Mention"/>
    <w:basedOn w:val="DefaultParagraphFont"/>
    <w:uiPriority w:val="99"/>
    <w:semiHidden/>
    <w:unhideWhenUsed/>
    <w:rsid w:val="00C72971"/>
    <w:rPr>
      <w:color w:val="605E5C"/>
      <w:shd w:val="clear" w:color="auto" w:fill="E1DFDD"/>
    </w:rPr>
  </w:style>
  <w:style w:type="character" w:customStyle="1" w:styleId="Heading1Char">
    <w:name w:val="Heading 1 Char"/>
    <w:basedOn w:val="DefaultParagraphFont"/>
    <w:link w:val="Heading1"/>
    <w:uiPriority w:val="9"/>
    <w:rsid w:val="009746F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96623"/>
    <w:pPr>
      <w:spacing w:before="480" w:line="276" w:lineRule="auto"/>
      <w:outlineLvl w:val="9"/>
    </w:pPr>
    <w:rPr>
      <w:b/>
      <w:bCs/>
      <w:sz w:val="28"/>
      <w:szCs w:val="28"/>
      <w:lang w:val="de-AT" w:eastAsia="de-DE"/>
    </w:rPr>
  </w:style>
  <w:style w:type="paragraph" w:styleId="TOC1">
    <w:name w:val="toc 1"/>
    <w:basedOn w:val="Normal"/>
    <w:next w:val="Normal"/>
    <w:autoRedefine/>
    <w:uiPriority w:val="39"/>
    <w:unhideWhenUsed/>
    <w:rsid w:val="00F96623"/>
    <w:pPr>
      <w:spacing w:before="240" w:after="120"/>
    </w:pPr>
    <w:rPr>
      <w:rFonts w:cstheme="minorHAnsi"/>
      <w:b/>
      <w:bCs/>
      <w:sz w:val="20"/>
      <w:szCs w:val="20"/>
    </w:rPr>
  </w:style>
  <w:style w:type="paragraph" w:styleId="TOC2">
    <w:name w:val="toc 2"/>
    <w:basedOn w:val="Normal"/>
    <w:next w:val="Normal"/>
    <w:autoRedefine/>
    <w:uiPriority w:val="39"/>
    <w:unhideWhenUsed/>
    <w:rsid w:val="008E5BE4"/>
    <w:pPr>
      <w:tabs>
        <w:tab w:val="left" w:pos="660"/>
        <w:tab w:val="right" w:leader="dot" w:pos="9062"/>
      </w:tabs>
      <w:spacing w:before="120" w:after="0"/>
      <w:ind w:left="220"/>
    </w:pPr>
    <w:rPr>
      <w:rFonts w:ascii="Times New Roman" w:hAnsi="Times New Roman" w:cs="Times New Roman"/>
      <w:b/>
      <w:bCs/>
      <w:noProof/>
      <w:sz w:val="20"/>
      <w:szCs w:val="20"/>
      <w:lang w:val="de-AT" w:eastAsia="en-GB"/>
    </w:rPr>
  </w:style>
  <w:style w:type="paragraph" w:styleId="TOC3">
    <w:name w:val="toc 3"/>
    <w:basedOn w:val="Normal"/>
    <w:next w:val="Normal"/>
    <w:autoRedefine/>
    <w:uiPriority w:val="39"/>
    <w:semiHidden/>
    <w:unhideWhenUsed/>
    <w:rsid w:val="00F96623"/>
    <w:pPr>
      <w:spacing w:after="0"/>
      <w:ind w:left="440"/>
    </w:pPr>
    <w:rPr>
      <w:rFonts w:cstheme="minorHAnsi"/>
      <w:sz w:val="20"/>
      <w:szCs w:val="20"/>
    </w:rPr>
  </w:style>
  <w:style w:type="paragraph" w:styleId="TOC4">
    <w:name w:val="toc 4"/>
    <w:basedOn w:val="Normal"/>
    <w:next w:val="Normal"/>
    <w:autoRedefine/>
    <w:uiPriority w:val="39"/>
    <w:semiHidden/>
    <w:unhideWhenUsed/>
    <w:rsid w:val="00F96623"/>
    <w:pPr>
      <w:spacing w:after="0"/>
      <w:ind w:left="660"/>
    </w:pPr>
    <w:rPr>
      <w:rFonts w:cstheme="minorHAnsi"/>
      <w:sz w:val="20"/>
      <w:szCs w:val="20"/>
    </w:rPr>
  </w:style>
  <w:style w:type="paragraph" w:styleId="TOC5">
    <w:name w:val="toc 5"/>
    <w:basedOn w:val="Normal"/>
    <w:next w:val="Normal"/>
    <w:autoRedefine/>
    <w:uiPriority w:val="39"/>
    <w:semiHidden/>
    <w:unhideWhenUsed/>
    <w:rsid w:val="00F96623"/>
    <w:pPr>
      <w:spacing w:after="0"/>
      <w:ind w:left="880"/>
    </w:pPr>
    <w:rPr>
      <w:rFonts w:cstheme="minorHAnsi"/>
      <w:sz w:val="20"/>
      <w:szCs w:val="20"/>
    </w:rPr>
  </w:style>
  <w:style w:type="paragraph" w:styleId="TOC6">
    <w:name w:val="toc 6"/>
    <w:basedOn w:val="Normal"/>
    <w:next w:val="Normal"/>
    <w:autoRedefine/>
    <w:uiPriority w:val="39"/>
    <w:semiHidden/>
    <w:unhideWhenUsed/>
    <w:rsid w:val="00F96623"/>
    <w:pPr>
      <w:spacing w:after="0"/>
      <w:ind w:left="1100"/>
    </w:pPr>
    <w:rPr>
      <w:rFonts w:cstheme="minorHAnsi"/>
      <w:sz w:val="20"/>
      <w:szCs w:val="20"/>
    </w:rPr>
  </w:style>
  <w:style w:type="paragraph" w:styleId="TOC7">
    <w:name w:val="toc 7"/>
    <w:basedOn w:val="Normal"/>
    <w:next w:val="Normal"/>
    <w:autoRedefine/>
    <w:uiPriority w:val="39"/>
    <w:semiHidden/>
    <w:unhideWhenUsed/>
    <w:rsid w:val="00F96623"/>
    <w:pPr>
      <w:spacing w:after="0"/>
      <w:ind w:left="1320"/>
    </w:pPr>
    <w:rPr>
      <w:rFonts w:cstheme="minorHAnsi"/>
      <w:sz w:val="20"/>
      <w:szCs w:val="20"/>
    </w:rPr>
  </w:style>
  <w:style w:type="paragraph" w:styleId="TOC8">
    <w:name w:val="toc 8"/>
    <w:basedOn w:val="Normal"/>
    <w:next w:val="Normal"/>
    <w:autoRedefine/>
    <w:uiPriority w:val="39"/>
    <w:semiHidden/>
    <w:unhideWhenUsed/>
    <w:rsid w:val="00F96623"/>
    <w:pPr>
      <w:spacing w:after="0"/>
      <w:ind w:left="1540"/>
    </w:pPr>
    <w:rPr>
      <w:rFonts w:cstheme="minorHAnsi"/>
      <w:sz w:val="20"/>
      <w:szCs w:val="20"/>
    </w:rPr>
  </w:style>
  <w:style w:type="paragraph" w:styleId="TOC9">
    <w:name w:val="toc 9"/>
    <w:basedOn w:val="Normal"/>
    <w:next w:val="Normal"/>
    <w:autoRedefine/>
    <w:uiPriority w:val="39"/>
    <w:semiHidden/>
    <w:unhideWhenUsed/>
    <w:rsid w:val="00F96623"/>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E82446"/>
    <w:rPr>
      <w:color w:val="954F72" w:themeColor="followedHyperlink"/>
      <w:u w:val="single"/>
    </w:rPr>
  </w:style>
  <w:style w:type="paragraph" w:styleId="EndnoteText">
    <w:name w:val="endnote text"/>
    <w:basedOn w:val="Normal"/>
    <w:link w:val="EndnoteTextChar"/>
    <w:uiPriority w:val="99"/>
    <w:semiHidden/>
    <w:unhideWhenUsed/>
    <w:rsid w:val="00841B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1BA2"/>
    <w:rPr>
      <w:sz w:val="20"/>
      <w:szCs w:val="20"/>
    </w:rPr>
  </w:style>
  <w:style w:type="character" w:styleId="EndnoteReference">
    <w:name w:val="endnote reference"/>
    <w:basedOn w:val="DefaultParagraphFont"/>
    <w:uiPriority w:val="99"/>
    <w:semiHidden/>
    <w:unhideWhenUsed/>
    <w:rsid w:val="00841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1285">
      <w:bodyDiv w:val="1"/>
      <w:marLeft w:val="0"/>
      <w:marRight w:val="0"/>
      <w:marTop w:val="0"/>
      <w:marBottom w:val="0"/>
      <w:divBdr>
        <w:top w:val="none" w:sz="0" w:space="0" w:color="auto"/>
        <w:left w:val="none" w:sz="0" w:space="0" w:color="auto"/>
        <w:bottom w:val="none" w:sz="0" w:space="0" w:color="auto"/>
        <w:right w:val="none" w:sz="0" w:space="0" w:color="auto"/>
      </w:divBdr>
    </w:div>
    <w:div w:id="528488635">
      <w:bodyDiv w:val="1"/>
      <w:marLeft w:val="0"/>
      <w:marRight w:val="0"/>
      <w:marTop w:val="0"/>
      <w:marBottom w:val="0"/>
      <w:divBdr>
        <w:top w:val="none" w:sz="0" w:space="0" w:color="auto"/>
        <w:left w:val="none" w:sz="0" w:space="0" w:color="auto"/>
        <w:bottom w:val="none" w:sz="0" w:space="0" w:color="auto"/>
        <w:right w:val="none" w:sz="0" w:space="0" w:color="auto"/>
      </w:divBdr>
    </w:div>
    <w:div w:id="638271505">
      <w:bodyDiv w:val="1"/>
      <w:marLeft w:val="0"/>
      <w:marRight w:val="0"/>
      <w:marTop w:val="0"/>
      <w:marBottom w:val="0"/>
      <w:divBdr>
        <w:top w:val="none" w:sz="0" w:space="0" w:color="auto"/>
        <w:left w:val="none" w:sz="0" w:space="0" w:color="auto"/>
        <w:bottom w:val="none" w:sz="0" w:space="0" w:color="auto"/>
        <w:right w:val="none" w:sz="0" w:space="0" w:color="auto"/>
      </w:divBdr>
    </w:div>
    <w:div w:id="888153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TXT/PDF/?uri=CELEX:32013R1337&amp;from=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ambridge.org/core/journals/german-law-journal/article/eu-trade-agendarules-on-state-intervention-in-the-market/6710BADC6387F68B020EB4888845EE59" TargetMode="External"/><Relationship Id="rId2" Type="http://schemas.openxmlformats.org/officeDocument/2006/relationships/hyperlink" Target="https://urldefense.com/v3/__https:/www.bmi.gv.at/411/Volksbegehren_der_XX_Gesetzgebungsperiode/CETA_Volksabstimmung/start.asp__;!!DOxrgLBm!EZBs23qF39HbVZiBseDwcXxA-lE24VEPPtx-_HLrrE0S5gkzJYhpFKcW2TBsljWES5OZdpG5YbdQLwfXebl_Ua4BvnK0TE7b$" TargetMode="External"/><Relationship Id="rId1" Type="http://schemas.openxmlformats.org/officeDocument/2006/relationships/hyperlink" Target="https://www.ihk.de/heilbronn-franken/produktmarken/international/internationaler-warenverkehr/warenursprung-praeferenzen/zollbeguenstigungen-allgemeines/kuenftige-handelsabkommen-der-eu-4810920" TargetMode="External"/><Relationship Id="rId4" Type="http://schemas.openxmlformats.org/officeDocument/2006/relationships/hyperlink" Target="https://www.nomos-elibrary.de/10.5771/9783845299471/europaeische-aussenbeziehu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3BBE-DF3F-49F7-A0D4-E78EF7EE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6719</Words>
  <Characters>38304</Characters>
  <Application>Microsoft Office Word</Application>
  <DocSecurity>0</DocSecurity>
  <Lines>319</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44934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SOLLGRUBER Johann (TRADE)</dc:creator>
  <cp:keywords/>
  <dc:description/>
  <cp:lastModifiedBy>SOLLGRUBER Johann (TRADE)</cp:lastModifiedBy>
  <cp:revision>2</cp:revision>
  <cp:lastPrinted>2024-03-21T09:46:00Z</cp:lastPrinted>
  <dcterms:created xsi:type="dcterms:W3CDTF">2024-04-08T07:36:00Z</dcterms:created>
  <dcterms:modified xsi:type="dcterms:W3CDTF">2024-04-08T07:36:00Z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2023-10-29T12:27:14Z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cdc55e10-fb13-4526-a6ea-1c028d0a073a</vt:lpwstr>
  </property>
  <property fmtid="{D5CDD505-2E9C-101B-9397-08002B2CF9AE}" pid="8" name="MSIP_Label_6bd9ddd1-4d20-43f6-abfa-fc3c07406f94_ContentBits">
    <vt:lpwstr>0</vt:lpwstr>
  </property>
</Properties>
</file>